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46D8" w14:textId="77777777" w:rsidR="00BA3609" w:rsidRPr="00CD5D95" w:rsidRDefault="00BA3609" w:rsidP="00BA3609">
      <w:pPr>
        <w:pStyle w:val="Title"/>
        <w:jc w:val="center"/>
        <w:rPr>
          <w:color w:val="0A8705"/>
          <w:sz w:val="44"/>
        </w:rPr>
      </w:pPr>
      <w:bookmarkStart w:id="0" w:name="_GoBack"/>
      <w:bookmarkEnd w:id="0"/>
      <w:r w:rsidRPr="00CD5D95">
        <w:rPr>
          <w:color w:val="0A8705"/>
          <w:sz w:val="44"/>
        </w:rPr>
        <w:t>Discrimination legislation update – September 2018</w:t>
      </w:r>
    </w:p>
    <w:p w14:paraId="5F60A3FC" w14:textId="77777777" w:rsidR="00E15597" w:rsidRPr="002B0E0F" w:rsidRDefault="00E15597" w:rsidP="00E15597">
      <w:pPr>
        <w:pStyle w:val="Heading1"/>
        <w:rPr>
          <w:color w:val="008000"/>
        </w:rPr>
      </w:pPr>
      <w:r w:rsidRPr="002B0E0F">
        <w:rPr>
          <w:color w:val="008000"/>
        </w:rPr>
        <w:t>General</w:t>
      </w:r>
    </w:p>
    <w:p w14:paraId="197FDA62" w14:textId="77777777" w:rsidR="00E15597" w:rsidRDefault="00E15597" w:rsidP="00E15597">
      <w:r w:rsidRPr="002B0E0F">
        <w:t>The purpose of this communique is to update members on the</w:t>
      </w:r>
      <w:r w:rsidR="00351C95">
        <w:t xml:space="preserve"> </w:t>
      </w:r>
      <w:r w:rsidRPr="002B0E0F">
        <w:t>progress being made on the development of legislation to eliminate disability related discrimination in Guernsey. This note gives important general information about the process and some specific information about the GDA’s stance on certain provisions which are under consideration.</w:t>
      </w:r>
    </w:p>
    <w:p w14:paraId="58E9A14A" w14:textId="77777777" w:rsidR="003351EE" w:rsidRPr="002B0E0F" w:rsidRDefault="00B10C1C" w:rsidP="00E15597">
      <w:r>
        <w:t>While we have attempted to keep the language simple</w:t>
      </w:r>
      <w:r w:rsidR="00427E81">
        <w:t>,</w:t>
      </w:r>
      <w:r>
        <w:t xml:space="preserve"> and </w:t>
      </w:r>
      <w:r w:rsidR="00F5335B">
        <w:t xml:space="preserve">to </w:t>
      </w:r>
      <w:r>
        <w:t xml:space="preserve">explain </w:t>
      </w:r>
      <w:r w:rsidR="00B62CF0">
        <w:t xml:space="preserve">complex </w:t>
      </w:r>
      <w:r>
        <w:t>terminology</w:t>
      </w:r>
      <w:r w:rsidR="00B62CF0">
        <w:t xml:space="preserve"> and concepts</w:t>
      </w:r>
      <w:r w:rsidR="00427E81">
        <w:t>,</w:t>
      </w:r>
      <w:r w:rsidR="001C161F">
        <w:t xml:space="preserve"> t</w:t>
      </w:r>
      <w:r w:rsidR="00456A60">
        <w:t xml:space="preserve">he </w:t>
      </w:r>
      <w:r w:rsidR="00BD3937">
        <w:t xml:space="preserve">update is </w:t>
      </w:r>
      <w:r w:rsidR="001C161F">
        <w:t xml:space="preserve">nevertheless </w:t>
      </w:r>
      <w:r w:rsidR="00BD3937">
        <w:t>necessarily detailed</w:t>
      </w:r>
      <w:r w:rsidR="001C161F">
        <w:t>. It is hoped that the summary</w:t>
      </w:r>
      <w:r w:rsidR="00F5335B">
        <w:t xml:space="preserve"> (below)</w:t>
      </w:r>
      <w:r w:rsidR="001C161F">
        <w:t xml:space="preserve"> will help </w:t>
      </w:r>
      <w:r w:rsidR="007054FB">
        <w:t>lead members to issues which may be of particular interest or importance to them</w:t>
      </w:r>
      <w:r w:rsidR="00FB40FE">
        <w:t xml:space="preserve"> </w:t>
      </w:r>
      <w:r w:rsidR="00E665B2">
        <w:t>(</w:t>
      </w:r>
      <w:r w:rsidR="00FB40FE">
        <w:t xml:space="preserve">Please note that </w:t>
      </w:r>
      <w:r w:rsidR="006E2FFA">
        <w:t xml:space="preserve">pressing ctrl and </w:t>
      </w:r>
      <w:r w:rsidR="00FB40FE">
        <w:t xml:space="preserve">clicking on </w:t>
      </w:r>
      <w:r w:rsidR="00E665B2">
        <w:t>an item in the summary list should take you to the detail of that summary point).</w:t>
      </w:r>
    </w:p>
    <w:p w14:paraId="15DD7CDC" w14:textId="77777777" w:rsidR="00D250CE" w:rsidRPr="002B0E0F" w:rsidRDefault="00D250CE" w:rsidP="00E15597">
      <w:r w:rsidRPr="002B0E0F">
        <w:t xml:space="preserve">Rob Platts </w:t>
      </w:r>
      <w:r w:rsidR="004B2794">
        <w:t xml:space="preserve">and </w:t>
      </w:r>
      <w:r w:rsidRPr="002B0E0F">
        <w:t>Rob Harnish would be pleased to hear from any member who would</w:t>
      </w:r>
      <w:r w:rsidR="00116BC0" w:rsidRPr="002B0E0F">
        <w:t xml:space="preserve"> </w:t>
      </w:r>
      <w:r w:rsidRPr="002B0E0F">
        <w:t xml:space="preserve">like further information or would like to discuss any </w:t>
      </w:r>
      <w:r w:rsidR="00116BC0" w:rsidRPr="002B0E0F">
        <w:t>of the detail of this communique</w:t>
      </w:r>
      <w:r w:rsidR="000E77EB">
        <w:t xml:space="preserve"> or would like the information presented in a different format</w:t>
      </w:r>
      <w:r w:rsidR="004C2E29" w:rsidRPr="002B0E0F">
        <w:t xml:space="preserve">.  </w:t>
      </w:r>
      <w:r w:rsidR="00042A14" w:rsidRPr="002B0E0F">
        <w:t>Contact details are below</w:t>
      </w:r>
      <w:r w:rsidR="00116BC0" w:rsidRPr="002B0E0F">
        <w:t xml:space="preserve">. </w:t>
      </w:r>
    </w:p>
    <w:p w14:paraId="6D0BC9C1" w14:textId="77777777" w:rsidR="00E15597" w:rsidRPr="002B0E0F" w:rsidRDefault="00042A14" w:rsidP="00E15597">
      <w:r w:rsidRPr="002B0E0F">
        <w:t>Please note that i</w:t>
      </w:r>
      <w:r w:rsidR="00E15597" w:rsidRPr="002B0E0F">
        <w:t>nformation about specific legal provisions offered in this communique should not be interpreted as being States’ Policy.</w:t>
      </w:r>
      <w:r w:rsidR="00766851" w:rsidRPr="002B0E0F">
        <w:t xml:space="preserve"> </w:t>
      </w:r>
    </w:p>
    <w:p w14:paraId="7847D60A" w14:textId="77777777" w:rsidR="00BA3609" w:rsidRPr="002B0E0F" w:rsidRDefault="008020C5" w:rsidP="00E9175F">
      <w:pPr>
        <w:pStyle w:val="Heading1"/>
        <w:rPr>
          <w:color w:val="008000"/>
        </w:rPr>
      </w:pPr>
      <w:r w:rsidRPr="002B0E0F">
        <w:rPr>
          <w:color w:val="008000"/>
        </w:rPr>
        <w:t>S</w:t>
      </w:r>
      <w:r w:rsidR="00E9175F" w:rsidRPr="002B0E0F">
        <w:rPr>
          <w:color w:val="008000"/>
        </w:rPr>
        <w:t>ummary</w:t>
      </w:r>
    </w:p>
    <w:p w14:paraId="76EB313F" w14:textId="77777777" w:rsidR="008020C5" w:rsidRPr="00126489" w:rsidRDefault="00DB0689" w:rsidP="008020C5">
      <w:pPr>
        <w:pStyle w:val="ListParagraph"/>
        <w:numPr>
          <w:ilvl w:val="0"/>
          <w:numId w:val="2"/>
        </w:numPr>
        <w:rPr>
          <w:rStyle w:val="Hyperlink"/>
          <w:color w:val="auto"/>
          <w:u w:val="none"/>
        </w:rPr>
      </w:pPr>
      <w:hyperlink w:anchor="Changed_process" w:history="1">
        <w:r w:rsidR="00DF72DD" w:rsidRPr="001B52F7">
          <w:rPr>
            <w:rStyle w:val="Hyperlink"/>
            <w:u w:val="none"/>
          </w:rPr>
          <w:t xml:space="preserve">In order </w:t>
        </w:r>
        <w:r w:rsidR="005305A6" w:rsidRPr="001B52F7">
          <w:rPr>
            <w:rStyle w:val="Hyperlink"/>
            <w:u w:val="none"/>
          </w:rPr>
          <w:t xml:space="preserve">to accommodate </w:t>
        </w:r>
        <w:r w:rsidR="002838A9" w:rsidRPr="001B52F7">
          <w:rPr>
            <w:rStyle w:val="Hyperlink"/>
            <w:u w:val="none"/>
          </w:rPr>
          <w:t>expand</w:t>
        </w:r>
        <w:r w:rsidR="00322FB7" w:rsidRPr="001B52F7">
          <w:rPr>
            <w:rStyle w:val="Hyperlink"/>
            <w:u w:val="none"/>
          </w:rPr>
          <w:t xml:space="preserve">ing the </w:t>
        </w:r>
        <w:r w:rsidR="002838A9" w:rsidRPr="001B52F7">
          <w:rPr>
            <w:rStyle w:val="Hyperlink"/>
            <w:u w:val="none"/>
          </w:rPr>
          <w:t>grounds of protection</w:t>
        </w:r>
        <w:r w:rsidR="00322FB7" w:rsidRPr="001B52F7">
          <w:rPr>
            <w:rStyle w:val="Hyperlink"/>
            <w:u w:val="none"/>
          </w:rPr>
          <w:t xml:space="preserve"> from disability to multiple grounds</w:t>
        </w:r>
        <w:r w:rsidR="00DF72DD" w:rsidRPr="001B52F7">
          <w:rPr>
            <w:rStyle w:val="Hyperlink"/>
            <w:u w:val="none"/>
          </w:rPr>
          <w:t xml:space="preserve">, </w:t>
        </w:r>
        <w:r w:rsidR="00B01771">
          <w:rPr>
            <w:rStyle w:val="Hyperlink"/>
            <w:u w:val="none"/>
          </w:rPr>
          <w:t xml:space="preserve">and to accelerate the work, </w:t>
        </w:r>
        <w:r w:rsidR="00A0661D">
          <w:rPr>
            <w:rStyle w:val="Hyperlink"/>
            <w:u w:val="none"/>
          </w:rPr>
          <w:t xml:space="preserve">the Committee </w:t>
        </w:r>
        <w:r w:rsidR="00A0661D" w:rsidRPr="00A0661D">
          <w:rPr>
            <w:rStyle w:val="Hyperlink"/>
            <w:i/>
            <w:u w:val="none"/>
          </w:rPr>
          <w:t>for</w:t>
        </w:r>
        <w:r w:rsidR="00A0661D">
          <w:rPr>
            <w:rStyle w:val="Hyperlink"/>
            <w:u w:val="none"/>
          </w:rPr>
          <w:t xml:space="preserve"> Employment and Social Security (ESS)</w:t>
        </w:r>
        <w:r w:rsidR="00DF72DD" w:rsidRPr="001B52F7">
          <w:rPr>
            <w:rStyle w:val="Hyperlink"/>
            <w:u w:val="none"/>
          </w:rPr>
          <w:t xml:space="preserve"> has changed its approach to developing </w:t>
        </w:r>
        <w:r w:rsidR="00F20071" w:rsidRPr="001B52F7">
          <w:rPr>
            <w:rStyle w:val="Hyperlink"/>
            <w:u w:val="none"/>
          </w:rPr>
          <w:t>discrimination legislation.</w:t>
        </w:r>
      </w:hyperlink>
    </w:p>
    <w:p w14:paraId="37CD2237" w14:textId="77777777" w:rsidR="00126489" w:rsidRPr="004B20D6" w:rsidRDefault="00DB0689" w:rsidP="008020C5">
      <w:pPr>
        <w:pStyle w:val="ListParagraph"/>
        <w:numPr>
          <w:ilvl w:val="0"/>
          <w:numId w:val="2"/>
        </w:numPr>
      </w:pPr>
      <w:hyperlink w:anchor="Interrelated_rights" w:history="1">
        <w:r w:rsidR="00126489" w:rsidRPr="004B20D6">
          <w:rPr>
            <w:rStyle w:val="Hyperlink"/>
            <w:u w:val="none"/>
          </w:rPr>
          <w:t xml:space="preserve">GDA Executive supports </w:t>
        </w:r>
        <w:r w:rsidR="00255A0E" w:rsidRPr="004B20D6">
          <w:rPr>
            <w:rStyle w:val="Hyperlink"/>
            <w:u w:val="none"/>
          </w:rPr>
          <w:t>extension of discrimination legislation to multiple grounds</w:t>
        </w:r>
      </w:hyperlink>
      <w:r w:rsidR="00255A0E" w:rsidRPr="004B20D6">
        <w:t>.</w:t>
      </w:r>
    </w:p>
    <w:p w14:paraId="53A67A36" w14:textId="77777777" w:rsidR="002838A9" w:rsidRPr="001B52F7" w:rsidRDefault="00DB0689" w:rsidP="008020C5">
      <w:pPr>
        <w:pStyle w:val="ListParagraph"/>
        <w:numPr>
          <w:ilvl w:val="0"/>
          <w:numId w:val="2"/>
        </w:numPr>
      </w:pPr>
      <w:hyperlink w:anchor="Changed_process" w:history="1">
        <w:r w:rsidR="00C63DDF" w:rsidRPr="001B52F7">
          <w:rPr>
            <w:rStyle w:val="Hyperlink"/>
            <w:u w:val="none"/>
          </w:rPr>
          <w:t>E</w:t>
        </w:r>
        <w:r w:rsidR="0087210A" w:rsidRPr="001B52F7">
          <w:rPr>
            <w:rStyle w:val="Hyperlink"/>
            <w:u w:val="none"/>
          </w:rPr>
          <w:t xml:space="preserve">xperts </w:t>
        </w:r>
        <w:r w:rsidR="00327334" w:rsidRPr="001B52F7">
          <w:rPr>
            <w:rStyle w:val="Hyperlink"/>
            <w:u w:val="none"/>
          </w:rPr>
          <w:t>(D</w:t>
        </w:r>
        <w:r w:rsidR="00407AF9" w:rsidRPr="001B52F7">
          <w:rPr>
            <w:rStyle w:val="Hyperlink"/>
            <w:u w:val="none"/>
          </w:rPr>
          <w:t>r</w:t>
        </w:r>
        <w:r w:rsidR="00421B00" w:rsidRPr="001B52F7">
          <w:rPr>
            <w:rStyle w:val="Hyperlink"/>
            <w:u w:val="none"/>
          </w:rPr>
          <w:t>s</w:t>
        </w:r>
        <w:r w:rsidR="00407AF9" w:rsidRPr="001B52F7">
          <w:rPr>
            <w:rStyle w:val="Hyperlink"/>
            <w:u w:val="none"/>
          </w:rPr>
          <w:t xml:space="preserve"> Quinlivan</w:t>
        </w:r>
        <w:r w:rsidR="00FD76F7" w:rsidRPr="001B52F7">
          <w:rPr>
            <w:rStyle w:val="Hyperlink"/>
            <w:u w:val="none"/>
          </w:rPr>
          <w:t xml:space="preserve"> and Buckley)</w:t>
        </w:r>
        <w:r w:rsidR="00407AF9" w:rsidRPr="001B52F7">
          <w:rPr>
            <w:rStyle w:val="Hyperlink"/>
            <w:u w:val="none"/>
          </w:rPr>
          <w:t xml:space="preserve"> </w:t>
        </w:r>
        <w:r w:rsidR="0087210A" w:rsidRPr="001B52F7">
          <w:rPr>
            <w:rStyle w:val="Hyperlink"/>
            <w:u w:val="none"/>
          </w:rPr>
          <w:t>from National University Ireland, Galway</w:t>
        </w:r>
        <w:r w:rsidR="00E95712" w:rsidRPr="001B52F7">
          <w:rPr>
            <w:rStyle w:val="Hyperlink"/>
            <w:u w:val="none"/>
          </w:rPr>
          <w:t>,</w:t>
        </w:r>
        <w:r w:rsidR="0087210A" w:rsidRPr="001B52F7">
          <w:rPr>
            <w:rStyle w:val="Hyperlink"/>
            <w:u w:val="none"/>
          </w:rPr>
          <w:t xml:space="preserve"> </w:t>
        </w:r>
        <w:r w:rsidR="00C63DDF" w:rsidRPr="001B52F7">
          <w:rPr>
            <w:rStyle w:val="Hyperlink"/>
            <w:u w:val="none"/>
          </w:rPr>
          <w:t xml:space="preserve">have been retained to </w:t>
        </w:r>
        <w:r w:rsidR="000F16C4" w:rsidRPr="001B52F7">
          <w:rPr>
            <w:rStyle w:val="Hyperlink"/>
            <w:u w:val="none"/>
          </w:rPr>
          <w:t xml:space="preserve">advise and </w:t>
        </w:r>
        <w:r w:rsidR="00C63DDF" w:rsidRPr="001B52F7">
          <w:rPr>
            <w:rStyle w:val="Hyperlink"/>
            <w:u w:val="none"/>
          </w:rPr>
          <w:t>assist</w:t>
        </w:r>
        <w:r w:rsidR="000205E3" w:rsidRPr="001B52F7">
          <w:rPr>
            <w:rStyle w:val="Hyperlink"/>
            <w:u w:val="none"/>
          </w:rPr>
          <w:t xml:space="preserve"> in developing </w:t>
        </w:r>
        <w:r w:rsidR="009170B3" w:rsidRPr="001B52F7">
          <w:rPr>
            <w:rStyle w:val="Hyperlink"/>
            <w:u w:val="none"/>
          </w:rPr>
          <w:t>policies and specific provisions.</w:t>
        </w:r>
      </w:hyperlink>
    </w:p>
    <w:p w14:paraId="34AB487A" w14:textId="77777777" w:rsidR="000F16C4" w:rsidRPr="001B52F7" w:rsidRDefault="000F16C4" w:rsidP="008020C5">
      <w:pPr>
        <w:pStyle w:val="ListParagraph"/>
        <w:numPr>
          <w:ilvl w:val="0"/>
          <w:numId w:val="2"/>
        </w:numPr>
      </w:pPr>
      <w:r w:rsidRPr="001B52F7">
        <w:rPr>
          <w:rStyle w:val="Hyperlink"/>
          <w:color w:val="auto"/>
          <w:u w:val="none"/>
        </w:rPr>
        <w:t>ESS ha</w:t>
      </w:r>
      <w:r w:rsidR="00F20071" w:rsidRPr="001B52F7">
        <w:rPr>
          <w:rStyle w:val="Hyperlink"/>
          <w:color w:val="auto"/>
          <w:u w:val="none"/>
        </w:rPr>
        <w:t>s</w:t>
      </w:r>
      <w:r w:rsidRPr="001B52F7">
        <w:rPr>
          <w:rStyle w:val="Hyperlink"/>
          <w:color w:val="auto"/>
          <w:u w:val="none"/>
        </w:rPr>
        <w:t xml:space="preserve"> consulted with GDA on:</w:t>
      </w:r>
    </w:p>
    <w:p w14:paraId="2A084883" w14:textId="77777777" w:rsidR="000F16C4" w:rsidRPr="001B52F7" w:rsidRDefault="00DB0689" w:rsidP="000F16C4">
      <w:pPr>
        <w:pStyle w:val="ListParagraph"/>
        <w:numPr>
          <w:ilvl w:val="1"/>
          <w:numId w:val="2"/>
        </w:numPr>
      </w:pPr>
      <w:hyperlink w:anchor="Defining_disability" w:history="1">
        <w:r w:rsidR="00184040" w:rsidRPr="001B52F7">
          <w:rPr>
            <w:rStyle w:val="Hyperlink"/>
            <w:u w:val="none"/>
          </w:rPr>
          <w:t>The legal definition of disability</w:t>
        </w:r>
        <w:r w:rsidR="00035C6D" w:rsidRPr="001B52F7">
          <w:rPr>
            <w:rStyle w:val="Hyperlink"/>
            <w:u w:val="none"/>
          </w:rPr>
          <w:t xml:space="preserve"> (based on Irish/Australian models</w:t>
        </w:r>
        <w:r w:rsidR="00EC3791" w:rsidRPr="001B52F7">
          <w:rPr>
            <w:rStyle w:val="Hyperlink"/>
            <w:u w:val="none"/>
          </w:rPr>
          <w:t>)</w:t>
        </w:r>
        <w:r w:rsidR="00537969" w:rsidRPr="001B52F7">
          <w:rPr>
            <w:rStyle w:val="Hyperlink"/>
            <w:u w:val="none"/>
            <w:vertAlign w:val="superscript"/>
          </w:rPr>
          <w:endnoteReference w:id="1"/>
        </w:r>
      </w:hyperlink>
    </w:p>
    <w:p w14:paraId="1AD29B6A" w14:textId="77777777" w:rsidR="00184040" w:rsidRPr="001B52F7" w:rsidRDefault="00DB0689" w:rsidP="000F16C4">
      <w:pPr>
        <w:pStyle w:val="ListParagraph"/>
        <w:numPr>
          <w:ilvl w:val="1"/>
          <w:numId w:val="2"/>
        </w:numPr>
      </w:pPr>
      <w:hyperlink w:anchor="Duty_to_accommodate" w:history="1">
        <w:r w:rsidR="007101D8" w:rsidRPr="001B52F7">
          <w:rPr>
            <w:rStyle w:val="Hyperlink"/>
            <w:u w:val="none"/>
          </w:rPr>
          <w:t>The approa</w:t>
        </w:r>
        <w:r w:rsidR="000D2D70" w:rsidRPr="001B52F7">
          <w:rPr>
            <w:rStyle w:val="Hyperlink"/>
            <w:u w:val="none"/>
          </w:rPr>
          <w:t xml:space="preserve">ch and coverage of the duty to </w:t>
        </w:r>
        <w:r w:rsidR="00B269D0" w:rsidRPr="001B52F7">
          <w:rPr>
            <w:rStyle w:val="Hyperlink"/>
            <w:u w:val="none"/>
          </w:rPr>
          <w:t>accommodat</w:t>
        </w:r>
        <w:r w:rsidR="000D2D70" w:rsidRPr="001B52F7">
          <w:rPr>
            <w:rStyle w:val="Hyperlink"/>
            <w:u w:val="none"/>
          </w:rPr>
          <w:t xml:space="preserve">e </w:t>
        </w:r>
        <w:r w:rsidR="00B269D0" w:rsidRPr="001B52F7">
          <w:rPr>
            <w:rStyle w:val="Hyperlink"/>
            <w:u w:val="none"/>
          </w:rPr>
          <w:t>need (</w:t>
        </w:r>
        <w:r w:rsidR="000D2D70" w:rsidRPr="001B52F7">
          <w:rPr>
            <w:rStyle w:val="Hyperlink"/>
            <w:u w:val="none"/>
          </w:rPr>
          <w:t xml:space="preserve">make </w:t>
        </w:r>
        <w:r w:rsidR="00B269D0" w:rsidRPr="001B52F7">
          <w:rPr>
            <w:rStyle w:val="Hyperlink"/>
            <w:u w:val="none"/>
          </w:rPr>
          <w:t>reasonable adjustment)</w:t>
        </w:r>
      </w:hyperlink>
    </w:p>
    <w:p w14:paraId="1CA0F279" w14:textId="77777777" w:rsidR="00B269D0" w:rsidRPr="001B52F7" w:rsidRDefault="00DB0689" w:rsidP="000F16C4">
      <w:pPr>
        <w:pStyle w:val="ListParagraph"/>
        <w:numPr>
          <w:ilvl w:val="1"/>
          <w:numId w:val="2"/>
        </w:numPr>
      </w:pPr>
      <w:hyperlink w:anchor="Accessibility" w:history="1">
        <w:r w:rsidR="000D2D70" w:rsidRPr="001B52F7">
          <w:rPr>
            <w:rStyle w:val="Hyperlink"/>
            <w:u w:val="none"/>
          </w:rPr>
          <w:t>Possible approach</w:t>
        </w:r>
        <w:r w:rsidR="003318CD" w:rsidRPr="001B52F7">
          <w:rPr>
            <w:rStyle w:val="Hyperlink"/>
            <w:u w:val="none"/>
          </w:rPr>
          <w:t>es</w:t>
        </w:r>
        <w:r w:rsidR="005433C1" w:rsidRPr="001B52F7">
          <w:rPr>
            <w:rStyle w:val="Hyperlink"/>
            <w:u w:val="none"/>
          </w:rPr>
          <w:t xml:space="preserve"> to</w:t>
        </w:r>
        <w:r w:rsidR="00F33ABF" w:rsidRPr="001B52F7">
          <w:rPr>
            <w:rStyle w:val="Hyperlink"/>
            <w:u w:val="none"/>
          </w:rPr>
          <w:t>,</w:t>
        </w:r>
        <w:r w:rsidR="003318CD" w:rsidRPr="001B52F7">
          <w:rPr>
            <w:rStyle w:val="Hyperlink"/>
            <w:u w:val="none"/>
          </w:rPr>
          <w:t xml:space="preserve"> and identification of resources necessary to adopt/develop</w:t>
        </w:r>
        <w:r w:rsidR="00217B42" w:rsidRPr="001B52F7">
          <w:rPr>
            <w:rStyle w:val="Hyperlink"/>
            <w:u w:val="none"/>
          </w:rPr>
          <w:t>, monitor and enforce standards of accessibility</w:t>
        </w:r>
      </w:hyperlink>
    </w:p>
    <w:p w14:paraId="6582D1F0" w14:textId="77777777" w:rsidR="00516978" w:rsidRPr="001B52F7" w:rsidRDefault="00516978" w:rsidP="00CC1CD9">
      <w:pPr>
        <w:pStyle w:val="ListParagraph"/>
        <w:numPr>
          <w:ilvl w:val="0"/>
          <w:numId w:val="2"/>
        </w:numPr>
      </w:pPr>
      <w:r w:rsidRPr="001B52F7">
        <w:rPr>
          <w:rStyle w:val="Hyperlink"/>
          <w:color w:val="auto"/>
          <w:u w:val="none"/>
        </w:rPr>
        <w:t>GDA ha</w:t>
      </w:r>
      <w:r w:rsidR="00CC1CD9" w:rsidRPr="001B52F7">
        <w:rPr>
          <w:rStyle w:val="Hyperlink"/>
          <w:color w:val="auto"/>
          <w:u w:val="none"/>
        </w:rPr>
        <w:t>s requested that consideration be given to</w:t>
      </w:r>
      <w:r w:rsidR="00CC1CD9" w:rsidRPr="001B52F7">
        <w:t>:</w:t>
      </w:r>
    </w:p>
    <w:p w14:paraId="66BCD70D" w14:textId="77777777" w:rsidR="001B0C6A" w:rsidRPr="001B52F7" w:rsidRDefault="00DB0689" w:rsidP="00CC1CD9">
      <w:pPr>
        <w:pStyle w:val="ListParagraph"/>
        <w:numPr>
          <w:ilvl w:val="1"/>
          <w:numId w:val="2"/>
        </w:numPr>
      </w:pPr>
      <w:hyperlink w:anchor="Defining_disability" w:history="1">
        <w:r w:rsidR="001B0C6A" w:rsidRPr="001B52F7">
          <w:rPr>
            <w:rStyle w:val="Hyperlink"/>
            <w:u w:val="none"/>
          </w:rPr>
          <w:t xml:space="preserve">Defining disability </w:t>
        </w:r>
        <w:r w:rsidR="00801C71" w:rsidRPr="001B52F7">
          <w:rPr>
            <w:rStyle w:val="Hyperlink"/>
            <w:u w:val="none"/>
          </w:rPr>
          <w:t xml:space="preserve">in line with a human rights approach as required by </w:t>
        </w:r>
        <w:r w:rsidR="00275CDC" w:rsidRPr="001B52F7">
          <w:rPr>
            <w:rStyle w:val="Hyperlink"/>
            <w:u w:val="none"/>
          </w:rPr>
          <w:t>the Convention on the Rights of Persons with Disabilities (CRPD)</w:t>
        </w:r>
        <w:r w:rsidR="007C540B" w:rsidRPr="001B52F7">
          <w:rPr>
            <w:rStyle w:val="Hyperlink"/>
            <w:u w:val="none"/>
          </w:rPr>
          <w:t>.</w:t>
        </w:r>
      </w:hyperlink>
    </w:p>
    <w:p w14:paraId="7592F904" w14:textId="77777777" w:rsidR="00755376" w:rsidRPr="001B52F7" w:rsidRDefault="00DB0689" w:rsidP="00CC1CD9">
      <w:pPr>
        <w:pStyle w:val="ListParagraph"/>
        <w:numPr>
          <w:ilvl w:val="1"/>
          <w:numId w:val="2"/>
        </w:numPr>
      </w:pPr>
      <w:hyperlink w:anchor="Defining_disability" w:history="1">
        <w:r w:rsidR="00755376" w:rsidRPr="001B52F7">
          <w:rPr>
            <w:rStyle w:val="Hyperlink"/>
            <w:u w:val="none"/>
          </w:rPr>
          <w:t>Ensuring that any list of impairments</w:t>
        </w:r>
        <w:r w:rsidR="00EA72AF" w:rsidRPr="001B52F7">
          <w:rPr>
            <w:rStyle w:val="Hyperlink"/>
            <w:u w:val="none"/>
          </w:rPr>
          <w:t xml:space="preserve"> used to explain disability</w:t>
        </w:r>
        <w:r w:rsidR="00755376" w:rsidRPr="001B52F7">
          <w:rPr>
            <w:rStyle w:val="Hyperlink"/>
            <w:u w:val="none"/>
          </w:rPr>
          <w:t xml:space="preserve"> is </w:t>
        </w:r>
        <w:r w:rsidR="0087735D" w:rsidRPr="001B52F7">
          <w:rPr>
            <w:rStyle w:val="Hyperlink"/>
            <w:u w:val="none"/>
          </w:rPr>
          <w:t>broad</w:t>
        </w:r>
        <w:r w:rsidR="00EA72AF" w:rsidRPr="001B52F7">
          <w:rPr>
            <w:rStyle w:val="Hyperlink"/>
            <w:u w:val="none"/>
          </w:rPr>
          <w:t xml:space="preserve"> and </w:t>
        </w:r>
        <w:r w:rsidR="0087735D" w:rsidRPr="001B52F7">
          <w:rPr>
            <w:rStyle w:val="Hyperlink"/>
            <w:u w:val="none"/>
          </w:rPr>
          <w:t>no</w:t>
        </w:r>
        <w:r w:rsidR="00EA72AF" w:rsidRPr="001B52F7">
          <w:rPr>
            <w:rStyle w:val="Hyperlink"/>
            <w:u w:val="none"/>
          </w:rPr>
          <w:t>n</w:t>
        </w:r>
        <w:r w:rsidR="0087735D" w:rsidRPr="001B52F7">
          <w:rPr>
            <w:rStyle w:val="Hyperlink"/>
            <w:u w:val="none"/>
          </w:rPr>
          <w:t>- exhaustive</w:t>
        </w:r>
        <w:r w:rsidR="00A57CDE" w:rsidRPr="001B52F7">
          <w:rPr>
            <w:rStyle w:val="Hyperlink"/>
            <w:u w:val="none"/>
          </w:rPr>
          <w:t xml:space="preserve"> and </w:t>
        </w:r>
        <w:r w:rsidR="004254B1" w:rsidRPr="001B52F7">
          <w:rPr>
            <w:rStyle w:val="Hyperlink"/>
            <w:u w:val="none"/>
          </w:rPr>
          <w:t>that protection is not dependent o</w:t>
        </w:r>
        <w:r w:rsidR="009B0612" w:rsidRPr="001B52F7">
          <w:rPr>
            <w:rStyle w:val="Hyperlink"/>
            <w:u w:val="none"/>
          </w:rPr>
          <w:t>n</w:t>
        </w:r>
        <w:r w:rsidR="004254B1" w:rsidRPr="001B52F7">
          <w:rPr>
            <w:rStyle w:val="Hyperlink"/>
            <w:u w:val="none"/>
          </w:rPr>
          <w:t xml:space="preserve"> severity or longevity of impairment</w:t>
        </w:r>
        <w:r w:rsidR="009B0612" w:rsidRPr="001B52F7">
          <w:rPr>
            <w:rStyle w:val="Hyperlink"/>
            <w:u w:val="none"/>
          </w:rPr>
          <w:t xml:space="preserve"> or on the impairment having any effect on personal functionality.</w:t>
        </w:r>
      </w:hyperlink>
    </w:p>
    <w:p w14:paraId="226812DB" w14:textId="77777777" w:rsidR="001008F0" w:rsidRPr="001B52F7" w:rsidRDefault="00DB0689" w:rsidP="00CC1CD9">
      <w:pPr>
        <w:pStyle w:val="ListParagraph"/>
        <w:numPr>
          <w:ilvl w:val="1"/>
          <w:numId w:val="2"/>
        </w:numPr>
      </w:pPr>
      <w:hyperlink w:anchor="Past_prsent_future_impairments" w:history="1">
        <w:r w:rsidR="00085289" w:rsidRPr="001B52F7">
          <w:rPr>
            <w:rStyle w:val="Hyperlink"/>
            <w:u w:val="none"/>
          </w:rPr>
          <w:t>Protecting on the basis of past, present, future and impugned impairment</w:t>
        </w:r>
        <w:r w:rsidR="002965BF" w:rsidRPr="001B52F7">
          <w:rPr>
            <w:rStyle w:val="Hyperlink"/>
            <w:u w:val="none"/>
          </w:rPr>
          <w:t>.</w:t>
        </w:r>
      </w:hyperlink>
    </w:p>
    <w:p w14:paraId="0DA80D8A" w14:textId="77777777" w:rsidR="00866F0A" w:rsidRPr="001B52F7" w:rsidRDefault="00E73D25" w:rsidP="00CC1CD9">
      <w:pPr>
        <w:pStyle w:val="ListParagraph"/>
        <w:numPr>
          <w:ilvl w:val="1"/>
          <w:numId w:val="2"/>
        </w:numPr>
        <w:rPr>
          <w:rStyle w:val="Hyperlink"/>
          <w:u w:val="none"/>
        </w:rPr>
      </w:pPr>
      <w:r w:rsidRPr="001B52F7">
        <w:fldChar w:fldCharType="begin"/>
      </w:r>
      <w:r w:rsidRPr="001B52F7">
        <w:instrText xml:space="preserve"> HYPERLINK  \l "Extend_duty" </w:instrText>
      </w:r>
      <w:r w:rsidRPr="001B52F7">
        <w:fldChar w:fldCharType="separate"/>
      </w:r>
      <w:r w:rsidR="004C232D" w:rsidRPr="001B52F7">
        <w:rPr>
          <w:rStyle w:val="Hyperlink"/>
          <w:u w:val="none"/>
        </w:rPr>
        <w:t xml:space="preserve">Extending the duty placed on employers and service providers to </w:t>
      </w:r>
      <w:r w:rsidR="00531FBD" w:rsidRPr="001B52F7">
        <w:rPr>
          <w:rStyle w:val="Hyperlink"/>
          <w:u w:val="none"/>
        </w:rPr>
        <w:t>appropriately accommodate need (make reasonable adjustments)</w:t>
      </w:r>
      <w:r w:rsidR="005406E2" w:rsidRPr="001B52F7">
        <w:rPr>
          <w:rStyle w:val="Hyperlink"/>
          <w:u w:val="none"/>
        </w:rPr>
        <w:t xml:space="preserve"> to:</w:t>
      </w:r>
    </w:p>
    <w:p w14:paraId="031C2088" w14:textId="77777777" w:rsidR="005406E2" w:rsidRPr="001B52F7" w:rsidRDefault="00A51543" w:rsidP="005406E2">
      <w:pPr>
        <w:pStyle w:val="ListParagraph"/>
        <w:numPr>
          <w:ilvl w:val="2"/>
          <w:numId w:val="2"/>
        </w:numPr>
        <w:rPr>
          <w:rStyle w:val="Hyperlink"/>
          <w:u w:val="none"/>
        </w:rPr>
      </w:pPr>
      <w:proofErr w:type="gramStart"/>
      <w:r w:rsidRPr="001B52F7">
        <w:rPr>
          <w:rStyle w:val="Hyperlink"/>
          <w:u w:val="none"/>
        </w:rPr>
        <w:t>p</w:t>
      </w:r>
      <w:r w:rsidR="005406E2" w:rsidRPr="001B52F7">
        <w:rPr>
          <w:rStyle w:val="Hyperlink"/>
          <w:u w:val="none"/>
        </w:rPr>
        <w:t>rotec</w:t>
      </w:r>
      <w:proofErr w:type="gramEnd"/>
      <w:r w:rsidR="005406E2" w:rsidRPr="001B52F7">
        <w:rPr>
          <w:rStyle w:val="Hyperlink"/>
          <w:u w:val="none"/>
        </w:rPr>
        <w:t>t</w:t>
      </w:r>
      <w:r w:rsidR="00D4208B" w:rsidRPr="001B52F7">
        <w:rPr>
          <w:rStyle w:val="Hyperlink"/>
          <w:u w:val="none"/>
        </w:rPr>
        <w:t xml:space="preserve"> </w:t>
      </w:r>
      <w:r w:rsidR="00197C40" w:rsidRPr="001B52F7">
        <w:rPr>
          <w:rStyle w:val="Hyperlink"/>
          <w:u w:val="none"/>
        </w:rPr>
        <w:t xml:space="preserve">people seeking accommodation on the basis of </w:t>
      </w:r>
      <w:r w:rsidR="004777ED" w:rsidRPr="001B52F7">
        <w:rPr>
          <w:rStyle w:val="Hyperlink"/>
          <w:u w:val="none"/>
        </w:rPr>
        <w:t xml:space="preserve">other </w:t>
      </w:r>
      <w:r w:rsidR="005406E2" w:rsidRPr="001B52F7">
        <w:rPr>
          <w:rStyle w:val="Hyperlink"/>
          <w:u w:val="none"/>
        </w:rPr>
        <w:t xml:space="preserve">grounds (e.g. Sex, religion, </w:t>
      </w:r>
      <w:proofErr w:type="spellStart"/>
      <w:r w:rsidR="005406E2" w:rsidRPr="001B52F7">
        <w:rPr>
          <w:rStyle w:val="Hyperlink"/>
          <w:u w:val="none"/>
        </w:rPr>
        <w:t>etc</w:t>
      </w:r>
      <w:proofErr w:type="spellEnd"/>
      <w:r w:rsidR="005406E2" w:rsidRPr="001B52F7">
        <w:rPr>
          <w:rStyle w:val="Hyperlink"/>
          <w:u w:val="none"/>
        </w:rPr>
        <w:t>)</w:t>
      </w:r>
      <w:r w:rsidR="003A4454" w:rsidRPr="001B52F7">
        <w:rPr>
          <w:rStyle w:val="Hyperlink"/>
          <w:u w:val="none"/>
        </w:rPr>
        <w:t>.</w:t>
      </w:r>
    </w:p>
    <w:p w14:paraId="6918BA20" w14:textId="77777777" w:rsidR="005406E2" w:rsidRPr="001B52F7" w:rsidRDefault="00A51543" w:rsidP="00A51543">
      <w:pPr>
        <w:pStyle w:val="ListParagraph"/>
        <w:numPr>
          <w:ilvl w:val="2"/>
          <w:numId w:val="2"/>
        </w:numPr>
      </w:pPr>
      <w:proofErr w:type="gramStart"/>
      <w:r w:rsidRPr="001B52F7">
        <w:rPr>
          <w:rStyle w:val="Hyperlink"/>
          <w:u w:val="none"/>
        </w:rPr>
        <w:t>protec</w:t>
      </w:r>
      <w:proofErr w:type="gramEnd"/>
      <w:r w:rsidRPr="001B52F7">
        <w:rPr>
          <w:rStyle w:val="Hyperlink"/>
          <w:u w:val="none"/>
        </w:rPr>
        <w:t>t a</w:t>
      </w:r>
      <w:r w:rsidR="00342F6C" w:rsidRPr="001B52F7">
        <w:rPr>
          <w:rStyle w:val="Hyperlink"/>
          <w:u w:val="none"/>
        </w:rPr>
        <w:t>ssociates</w:t>
      </w:r>
      <w:r w:rsidR="00383190" w:rsidRPr="001B52F7">
        <w:rPr>
          <w:rStyle w:val="Hyperlink"/>
          <w:u w:val="none"/>
        </w:rPr>
        <w:t xml:space="preserve"> and carers</w:t>
      </w:r>
      <w:r w:rsidR="00342F6C" w:rsidRPr="001B52F7">
        <w:rPr>
          <w:rStyle w:val="Hyperlink"/>
          <w:u w:val="none"/>
        </w:rPr>
        <w:t xml:space="preserve"> of persons </w:t>
      </w:r>
      <w:r w:rsidR="00803AF2" w:rsidRPr="001B52F7">
        <w:rPr>
          <w:rStyle w:val="Hyperlink"/>
          <w:u w:val="none"/>
        </w:rPr>
        <w:t xml:space="preserve">providing support </w:t>
      </w:r>
      <w:r w:rsidR="0017352F" w:rsidRPr="001B52F7">
        <w:rPr>
          <w:rStyle w:val="Hyperlink"/>
          <w:u w:val="none"/>
        </w:rPr>
        <w:t xml:space="preserve">to a person with needs </w:t>
      </w:r>
      <w:r w:rsidR="003A4454" w:rsidRPr="001B52F7">
        <w:rPr>
          <w:rStyle w:val="Hyperlink"/>
          <w:u w:val="none"/>
        </w:rPr>
        <w:t>associated with a protected ground.</w:t>
      </w:r>
      <w:r w:rsidR="00E73D25" w:rsidRPr="001B52F7">
        <w:fldChar w:fldCharType="end"/>
      </w:r>
    </w:p>
    <w:p w14:paraId="74A94AB8" w14:textId="77777777" w:rsidR="003E63CB" w:rsidRPr="001B52F7" w:rsidRDefault="00DB0689" w:rsidP="003E63CB">
      <w:pPr>
        <w:pStyle w:val="ListParagraph"/>
        <w:numPr>
          <w:ilvl w:val="1"/>
          <w:numId w:val="2"/>
        </w:numPr>
      </w:pPr>
      <w:hyperlink w:anchor="Seaparate_offence" w:history="1">
        <w:r w:rsidR="003E63CB" w:rsidRPr="001B52F7">
          <w:rPr>
            <w:rStyle w:val="Hyperlink"/>
            <w:u w:val="none"/>
          </w:rPr>
          <w:t xml:space="preserve">Separating the </w:t>
        </w:r>
        <w:r w:rsidR="00E77D0D" w:rsidRPr="001B52F7">
          <w:rPr>
            <w:rStyle w:val="Hyperlink"/>
            <w:u w:val="none"/>
          </w:rPr>
          <w:t>offence of failure to accommodate need from the general offence of direct discrimination.</w:t>
        </w:r>
      </w:hyperlink>
    </w:p>
    <w:p w14:paraId="1DA477AC" w14:textId="77777777" w:rsidR="004624F5" w:rsidRPr="001B52F7" w:rsidRDefault="00DB0689" w:rsidP="003E63CB">
      <w:pPr>
        <w:pStyle w:val="ListParagraph"/>
        <w:numPr>
          <w:ilvl w:val="1"/>
          <w:numId w:val="2"/>
        </w:numPr>
      </w:pPr>
      <w:hyperlink w:anchor="Matters_too_broad" w:history="1">
        <w:r w:rsidR="00AE4810" w:rsidRPr="001B52F7">
          <w:rPr>
            <w:rStyle w:val="Hyperlink"/>
            <w:u w:val="none"/>
          </w:rPr>
          <w:t>Restricting the matters to be considered when judging disproportionate burden to cost (including the availability of outside funding) and health and safety</w:t>
        </w:r>
        <w:r w:rsidR="00FB40FE" w:rsidRPr="001B52F7">
          <w:rPr>
            <w:rStyle w:val="Hyperlink"/>
            <w:u w:val="none"/>
          </w:rPr>
          <w:t>.</w:t>
        </w:r>
      </w:hyperlink>
    </w:p>
    <w:p w14:paraId="498FBAA8" w14:textId="77777777" w:rsidR="00DB7BF3" w:rsidRPr="001B52F7" w:rsidRDefault="00DB0689" w:rsidP="003E63CB">
      <w:pPr>
        <w:pStyle w:val="ListParagraph"/>
        <w:numPr>
          <w:ilvl w:val="1"/>
          <w:numId w:val="2"/>
        </w:numPr>
      </w:pPr>
      <w:hyperlink w:anchor="Discrimination_arising_from" w:history="1">
        <w:r w:rsidR="00DB7BF3" w:rsidRPr="001B52F7">
          <w:rPr>
            <w:rStyle w:val="Hyperlink"/>
            <w:u w:val="none"/>
          </w:rPr>
          <w:t xml:space="preserve">Confirming that a </w:t>
        </w:r>
        <w:r w:rsidR="00311D97" w:rsidRPr="001B52F7">
          <w:rPr>
            <w:rStyle w:val="Hyperlink"/>
            <w:u w:val="none"/>
          </w:rPr>
          <w:t>UK</w:t>
        </w:r>
        <w:r w:rsidR="00DB7BF3" w:rsidRPr="001B52F7">
          <w:rPr>
            <w:rStyle w:val="Hyperlink"/>
            <w:u w:val="none"/>
          </w:rPr>
          <w:t xml:space="preserve"> style </w:t>
        </w:r>
        <w:r w:rsidR="00311D97" w:rsidRPr="001B52F7">
          <w:rPr>
            <w:rStyle w:val="Hyperlink"/>
            <w:u w:val="none"/>
          </w:rPr>
          <w:t>“discrimination arising from disability” provision will not be required</w:t>
        </w:r>
        <w:r w:rsidR="00CA6DF1" w:rsidRPr="001B52F7">
          <w:rPr>
            <w:rStyle w:val="Hyperlink"/>
            <w:u w:val="none"/>
          </w:rPr>
          <w:t>.</w:t>
        </w:r>
      </w:hyperlink>
    </w:p>
    <w:p w14:paraId="29F88936" w14:textId="77777777" w:rsidR="002D1679" w:rsidRPr="001B52F7" w:rsidRDefault="00D04909" w:rsidP="003E63CB">
      <w:pPr>
        <w:pStyle w:val="ListParagraph"/>
        <w:numPr>
          <w:ilvl w:val="1"/>
          <w:numId w:val="2"/>
        </w:numPr>
        <w:rPr>
          <w:rStyle w:val="Hyperlink"/>
          <w:u w:val="none"/>
        </w:rPr>
      </w:pPr>
      <w:r w:rsidRPr="001B52F7">
        <w:fldChar w:fldCharType="begin"/>
      </w:r>
      <w:r w:rsidRPr="001B52F7">
        <w:instrText xml:space="preserve"> HYPERLINK  \l "Accessibility" </w:instrText>
      </w:r>
      <w:r w:rsidRPr="001B52F7">
        <w:fldChar w:fldCharType="separate"/>
      </w:r>
      <w:r w:rsidR="00531B88" w:rsidRPr="001B52F7">
        <w:rPr>
          <w:rStyle w:val="Hyperlink"/>
          <w:u w:val="none"/>
        </w:rPr>
        <w:t xml:space="preserve">Reviewing the </w:t>
      </w:r>
      <w:r w:rsidR="006469C2" w:rsidRPr="001B52F7">
        <w:rPr>
          <w:rStyle w:val="Hyperlink"/>
          <w:u w:val="none"/>
        </w:rPr>
        <w:t xml:space="preserve">appropriateness of </w:t>
      </w:r>
      <w:r w:rsidR="00531B88" w:rsidRPr="001B52F7">
        <w:rPr>
          <w:rStyle w:val="Hyperlink"/>
          <w:u w:val="none"/>
        </w:rPr>
        <w:t>existing building regulations (Par</w:t>
      </w:r>
      <w:r w:rsidR="006469C2" w:rsidRPr="001B52F7">
        <w:rPr>
          <w:rStyle w:val="Hyperlink"/>
          <w:u w:val="none"/>
        </w:rPr>
        <w:t xml:space="preserve">t M) </w:t>
      </w:r>
      <w:r w:rsidR="000B7174" w:rsidRPr="001B52F7">
        <w:rPr>
          <w:rStyle w:val="Hyperlink"/>
          <w:u w:val="none"/>
        </w:rPr>
        <w:t xml:space="preserve">with the objective of protecting </w:t>
      </w:r>
      <w:r w:rsidR="00C16005" w:rsidRPr="001B52F7">
        <w:rPr>
          <w:rStyle w:val="Hyperlink"/>
          <w:u w:val="none"/>
        </w:rPr>
        <w:t xml:space="preserve">certain </w:t>
      </w:r>
      <w:r w:rsidR="008E2E94" w:rsidRPr="001B52F7">
        <w:rPr>
          <w:rStyle w:val="Hyperlink"/>
          <w:u w:val="none"/>
        </w:rPr>
        <w:t>existing accessible features within buildings.</w:t>
      </w:r>
    </w:p>
    <w:p w14:paraId="3EB4AFB7" w14:textId="77777777" w:rsidR="00A55DCE" w:rsidRDefault="00A55DCE" w:rsidP="003E63CB">
      <w:pPr>
        <w:pStyle w:val="ListParagraph"/>
        <w:numPr>
          <w:ilvl w:val="1"/>
          <w:numId w:val="2"/>
        </w:numPr>
      </w:pPr>
      <w:r w:rsidRPr="001B52F7">
        <w:rPr>
          <w:rStyle w:val="Hyperlink"/>
          <w:u w:val="none"/>
        </w:rPr>
        <w:t xml:space="preserve">Learning from the </w:t>
      </w:r>
      <w:r w:rsidR="00F279C6" w:rsidRPr="001B52F7">
        <w:rPr>
          <w:rStyle w:val="Hyperlink"/>
          <w:u w:val="none"/>
        </w:rPr>
        <w:t xml:space="preserve">approach to </w:t>
      </w:r>
      <w:r w:rsidRPr="001B52F7">
        <w:rPr>
          <w:rStyle w:val="Hyperlink"/>
          <w:u w:val="none"/>
        </w:rPr>
        <w:t xml:space="preserve">accessibility standards </w:t>
      </w:r>
      <w:r w:rsidR="00F279C6" w:rsidRPr="001B52F7">
        <w:rPr>
          <w:rStyle w:val="Hyperlink"/>
          <w:u w:val="none"/>
        </w:rPr>
        <w:t>taken by Manitoba and Ontario and possibly priorit</w:t>
      </w:r>
      <w:r w:rsidR="00623E50" w:rsidRPr="001B52F7">
        <w:rPr>
          <w:rStyle w:val="Hyperlink"/>
          <w:u w:val="none"/>
        </w:rPr>
        <w:t>ising the adoption of a customer services standard.</w:t>
      </w:r>
      <w:r w:rsidR="00D04909" w:rsidRPr="001B52F7">
        <w:fldChar w:fldCharType="end"/>
      </w:r>
    </w:p>
    <w:p w14:paraId="34C5C3D1" w14:textId="77777777" w:rsidR="00A018F4" w:rsidRPr="004C324B" w:rsidRDefault="00DB0689" w:rsidP="003E63CB">
      <w:pPr>
        <w:pStyle w:val="ListParagraph"/>
        <w:numPr>
          <w:ilvl w:val="1"/>
          <w:numId w:val="2"/>
        </w:numPr>
      </w:pPr>
      <w:hyperlink w:anchor="Compliance" w:history="1">
        <w:r w:rsidR="004759C3" w:rsidRPr="004C324B">
          <w:rPr>
            <w:rStyle w:val="Hyperlink"/>
            <w:u w:val="none"/>
          </w:rPr>
          <w:t xml:space="preserve">Establishing </w:t>
        </w:r>
        <w:r w:rsidR="004C324B">
          <w:rPr>
            <w:rStyle w:val="Hyperlink"/>
            <w:u w:val="none"/>
          </w:rPr>
          <w:t xml:space="preserve">simple but </w:t>
        </w:r>
        <w:r w:rsidR="004759C3" w:rsidRPr="004C324B">
          <w:rPr>
            <w:rStyle w:val="Hyperlink"/>
            <w:u w:val="none"/>
          </w:rPr>
          <w:t>robust systems of monitoring</w:t>
        </w:r>
        <w:r w:rsidR="00C62345" w:rsidRPr="004C324B">
          <w:rPr>
            <w:rStyle w:val="Hyperlink"/>
            <w:u w:val="none"/>
          </w:rPr>
          <w:t xml:space="preserve"> and enforcing compliance</w:t>
        </w:r>
        <w:r w:rsidR="0080604C" w:rsidRPr="004C324B">
          <w:rPr>
            <w:rStyle w:val="Hyperlink"/>
            <w:u w:val="none"/>
          </w:rPr>
          <w:t xml:space="preserve"> associated with any accessibility standards as well as general monitoring of </w:t>
        </w:r>
        <w:r w:rsidR="00B74E42" w:rsidRPr="004C324B">
          <w:rPr>
            <w:rStyle w:val="Hyperlink"/>
            <w:u w:val="none"/>
          </w:rPr>
          <w:t xml:space="preserve">compliance </w:t>
        </w:r>
        <w:r w:rsidR="00FF76A7" w:rsidRPr="004C324B">
          <w:rPr>
            <w:rStyle w:val="Hyperlink"/>
            <w:u w:val="none"/>
          </w:rPr>
          <w:t xml:space="preserve">by employers and suppliers </w:t>
        </w:r>
        <w:r w:rsidR="008B6475" w:rsidRPr="004C324B">
          <w:rPr>
            <w:rStyle w:val="Hyperlink"/>
            <w:u w:val="none"/>
          </w:rPr>
          <w:t>with the duty to make appropriate adjustments.</w:t>
        </w:r>
      </w:hyperlink>
    </w:p>
    <w:p w14:paraId="21F5F594" w14:textId="77777777" w:rsidR="00562CFA" w:rsidRPr="002B0E0F" w:rsidRDefault="00562CFA" w:rsidP="001B52F7"/>
    <w:p w14:paraId="73DB01A2" w14:textId="77777777" w:rsidR="00DD13EF" w:rsidRDefault="00DD13EF" w:rsidP="000A2F45">
      <w:pPr>
        <w:pStyle w:val="Title"/>
        <w:jc w:val="center"/>
        <w:rPr>
          <w:color w:val="0A8705"/>
          <w:sz w:val="52"/>
        </w:rPr>
      </w:pPr>
      <w:bookmarkStart w:id="1" w:name="_Hlk524249339"/>
    </w:p>
    <w:p w14:paraId="33DAA002" w14:textId="77777777" w:rsidR="00A83CFF" w:rsidRDefault="00A83CFF">
      <w:pPr>
        <w:rPr>
          <w:rFonts w:asciiTheme="majorHAnsi" w:eastAsiaTheme="majorEastAsia" w:hAnsiTheme="majorHAnsi" w:cstheme="majorBidi"/>
          <w:color w:val="0A8705"/>
          <w:spacing w:val="-10"/>
          <w:kern w:val="28"/>
          <w:sz w:val="52"/>
          <w:szCs w:val="56"/>
        </w:rPr>
      </w:pPr>
      <w:r>
        <w:rPr>
          <w:color w:val="0A8705"/>
          <w:sz w:val="52"/>
        </w:rPr>
        <w:br w:type="page"/>
      </w:r>
    </w:p>
    <w:p w14:paraId="653945D0" w14:textId="77777777" w:rsidR="00042ACB" w:rsidRPr="00DD13EF" w:rsidRDefault="00042ACB" w:rsidP="000A2F45">
      <w:pPr>
        <w:pStyle w:val="Title"/>
        <w:jc w:val="center"/>
        <w:rPr>
          <w:color w:val="0A8705"/>
          <w:sz w:val="52"/>
        </w:rPr>
      </w:pPr>
      <w:r w:rsidRPr="00DD13EF">
        <w:rPr>
          <w:color w:val="0A8705"/>
          <w:sz w:val="52"/>
        </w:rPr>
        <w:lastRenderedPageBreak/>
        <w:t>Discrimination legislation update</w:t>
      </w:r>
      <w:r w:rsidR="003266C4" w:rsidRPr="00DD13EF">
        <w:rPr>
          <w:color w:val="0A8705"/>
          <w:sz w:val="52"/>
        </w:rPr>
        <w:t xml:space="preserve"> </w:t>
      </w:r>
      <w:r w:rsidR="0066137C" w:rsidRPr="00DD13EF">
        <w:rPr>
          <w:color w:val="0A8705"/>
          <w:sz w:val="52"/>
        </w:rPr>
        <w:t>(detail)</w:t>
      </w:r>
      <w:r w:rsidR="003266C4" w:rsidRPr="00DD13EF">
        <w:rPr>
          <w:color w:val="0A8705"/>
          <w:sz w:val="52"/>
        </w:rPr>
        <w:t xml:space="preserve"> September 2018</w:t>
      </w:r>
    </w:p>
    <w:bookmarkEnd w:id="1"/>
    <w:p w14:paraId="61383BA4" w14:textId="77777777" w:rsidR="000A2F45" w:rsidRDefault="000A2F45"/>
    <w:p w14:paraId="4554DED1" w14:textId="77777777" w:rsidR="000A2F45" w:rsidRPr="008962CE" w:rsidRDefault="00EC0F3E" w:rsidP="003C77E6">
      <w:pPr>
        <w:pStyle w:val="Subtitle"/>
        <w:rPr>
          <w:b/>
          <w:sz w:val="28"/>
        </w:rPr>
      </w:pPr>
      <w:bookmarkStart w:id="2" w:name="Changed_process"/>
      <w:r w:rsidRPr="008962CE">
        <w:rPr>
          <w:b/>
          <w:sz w:val="28"/>
        </w:rPr>
        <w:t xml:space="preserve">The process </w:t>
      </w:r>
      <w:r w:rsidR="003C77E6" w:rsidRPr="008962CE">
        <w:rPr>
          <w:b/>
          <w:sz w:val="28"/>
        </w:rPr>
        <w:t xml:space="preserve">to develop legislation has </w:t>
      </w:r>
      <w:r w:rsidRPr="008962CE">
        <w:rPr>
          <w:b/>
          <w:sz w:val="28"/>
        </w:rPr>
        <w:t>changed</w:t>
      </w:r>
    </w:p>
    <w:bookmarkEnd w:id="2"/>
    <w:p w14:paraId="63F4C267" w14:textId="299A9710" w:rsidR="003C77E6" w:rsidRDefault="002C7813">
      <w:r>
        <w:t xml:space="preserve">Previously, a group comprising </w:t>
      </w:r>
      <w:r w:rsidR="00B7425D">
        <w:t xml:space="preserve">politicians, civil servants, </w:t>
      </w:r>
      <w:r w:rsidR="008D7452">
        <w:t xml:space="preserve">lawyers and representatives from the Guernsey Disability Alliance (GDA) </w:t>
      </w:r>
      <w:r w:rsidR="004E71FC">
        <w:t xml:space="preserve">and the Chamber of Commerce </w:t>
      </w:r>
      <w:r w:rsidR="009A27DF">
        <w:t xml:space="preserve">were responsible for </w:t>
      </w:r>
      <w:r w:rsidR="0017473C">
        <w:t xml:space="preserve">discussing policy issues and providing input in relation to the draft provisions </w:t>
      </w:r>
      <w:r w:rsidR="00227618">
        <w:t xml:space="preserve">which </w:t>
      </w:r>
      <w:r w:rsidR="00992A63">
        <w:t xml:space="preserve">the Committee </w:t>
      </w:r>
      <w:r w:rsidR="00992A63" w:rsidRPr="00173957">
        <w:rPr>
          <w:i/>
        </w:rPr>
        <w:t>for</w:t>
      </w:r>
      <w:r w:rsidR="00992A63">
        <w:t xml:space="preserve"> Employment and Social Security</w:t>
      </w:r>
      <w:r w:rsidR="00C02547">
        <w:t xml:space="preserve"> (ESS)</w:t>
      </w:r>
      <w:r w:rsidR="00992A63">
        <w:t xml:space="preserve"> </w:t>
      </w:r>
      <w:r w:rsidR="00292838">
        <w:t xml:space="preserve">would </w:t>
      </w:r>
      <w:r w:rsidR="00B05C9B">
        <w:t xml:space="preserve">use to inform the </w:t>
      </w:r>
      <w:r w:rsidR="00292838">
        <w:t>Policy Letter which would</w:t>
      </w:r>
      <w:r w:rsidR="00E65798">
        <w:t xml:space="preserve">, </w:t>
      </w:r>
      <w:r w:rsidR="0017473C">
        <w:t>if</w:t>
      </w:r>
      <w:r w:rsidR="007050B1">
        <w:t>/</w:t>
      </w:r>
      <w:r w:rsidR="00E65798">
        <w:t>when agreed by the States of Guernsey, be</w:t>
      </w:r>
      <w:r w:rsidR="009454F0">
        <w:t>come the blueprint for the legislation</w:t>
      </w:r>
      <w:r w:rsidR="00D9466D">
        <w:t xml:space="preserve"> </w:t>
      </w:r>
      <w:r w:rsidR="00EA3190">
        <w:t>to</w:t>
      </w:r>
      <w:r w:rsidR="00D9466D">
        <w:t xml:space="preserve"> be drafted by States’ Law Officers. </w:t>
      </w:r>
    </w:p>
    <w:p w14:paraId="3FD2D863" w14:textId="77777777" w:rsidR="00C02547" w:rsidRDefault="005C326F">
      <w:r>
        <w:t>Two things have happened which have altered this process</w:t>
      </w:r>
      <w:r w:rsidR="00B77CB3">
        <w:t>.</w:t>
      </w:r>
      <w:r w:rsidR="00104B7A">
        <w:t xml:space="preserve"> Firstly, </w:t>
      </w:r>
      <w:r w:rsidR="00A300F8">
        <w:t>following slow progress</w:t>
      </w:r>
      <w:r w:rsidR="00CE3432">
        <w:t xml:space="preserve">, a decision was made </w:t>
      </w:r>
      <w:r w:rsidR="00301AE9">
        <w:t>to employ experts</w:t>
      </w:r>
      <w:r w:rsidR="00973891">
        <w:t xml:space="preserve"> </w:t>
      </w:r>
      <w:r w:rsidR="00301AE9">
        <w:t>in the field of discrimination law</w:t>
      </w:r>
      <w:r w:rsidR="0067482C">
        <w:t xml:space="preserve"> </w:t>
      </w:r>
      <w:r w:rsidR="00301AE9">
        <w:t xml:space="preserve">to </w:t>
      </w:r>
      <w:r w:rsidR="00C73E63">
        <w:t xml:space="preserve">help </w:t>
      </w:r>
      <w:r w:rsidR="00136D73">
        <w:t>identify</w:t>
      </w:r>
      <w:r w:rsidR="00C73E63">
        <w:t xml:space="preserve"> </w:t>
      </w:r>
      <w:r w:rsidR="00F9551A">
        <w:t xml:space="preserve">the model of legislation on which Guernsey should base its </w:t>
      </w:r>
      <w:r w:rsidR="00433FA4">
        <w:t>legislation</w:t>
      </w:r>
      <w:r w:rsidR="00D50BB5">
        <w:t>.</w:t>
      </w:r>
      <w:r w:rsidR="009544DF">
        <w:t xml:space="preserve"> </w:t>
      </w:r>
      <w:r w:rsidR="0078341E">
        <w:t>Experts</w:t>
      </w:r>
      <w:r w:rsidR="005078DE">
        <w:t xml:space="preserve"> </w:t>
      </w:r>
      <w:r w:rsidR="003E5F2A">
        <w:t>(Dr Quinlivan</w:t>
      </w:r>
      <w:r w:rsidR="005078DE">
        <w:t xml:space="preserve"> and Dr Buckley)</w:t>
      </w:r>
      <w:r w:rsidR="0078341E">
        <w:t xml:space="preserve"> from the National University of Ireland, Galway, recommended that </w:t>
      </w:r>
      <w:r w:rsidR="00D044F6">
        <w:t xml:space="preserve">Guernsey should model its legislation on an amalgamation of the Irish and </w:t>
      </w:r>
      <w:r w:rsidR="00C96A3C">
        <w:t>Australian</w:t>
      </w:r>
      <w:r w:rsidR="00D044F6">
        <w:t xml:space="preserve"> discrimination </w:t>
      </w:r>
      <w:r w:rsidR="00C96A3C">
        <w:t xml:space="preserve">legislation. </w:t>
      </w:r>
      <w:r w:rsidR="00B77CB3">
        <w:t>S</w:t>
      </w:r>
      <w:r w:rsidR="00BC6EA0">
        <w:t>econdly</w:t>
      </w:r>
      <w:r w:rsidR="002D2FBA">
        <w:t>, ESS</w:t>
      </w:r>
      <w:r w:rsidR="00016CD9">
        <w:t xml:space="preserve"> </w:t>
      </w:r>
      <w:r w:rsidR="00032EDE">
        <w:t xml:space="preserve">proposed and the States </w:t>
      </w:r>
      <w:r w:rsidR="00533211">
        <w:t>have agreed,</w:t>
      </w:r>
      <w:r w:rsidR="00016CD9">
        <w:t xml:space="preserve"> that </w:t>
      </w:r>
      <w:r w:rsidR="00533211">
        <w:t>t</w:t>
      </w:r>
      <w:r w:rsidR="00016CD9">
        <w:t xml:space="preserve">he scope of the legislation </w:t>
      </w:r>
      <w:r w:rsidR="00533211">
        <w:t xml:space="preserve">should be widened </w:t>
      </w:r>
      <w:r w:rsidR="00016CD9">
        <w:t>from just disability</w:t>
      </w:r>
      <w:r w:rsidR="00973891">
        <w:t>,</w:t>
      </w:r>
      <w:r w:rsidR="00016CD9">
        <w:t xml:space="preserve"> </w:t>
      </w:r>
      <w:r w:rsidR="00885452">
        <w:t>so that people would be protected on multi</w:t>
      </w:r>
      <w:r w:rsidR="00BF7D15">
        <w:t>ple grounds (</w:t>
      </w:r>
      <w:r w:rsidR="0017473C">
        <w:t>for example, yet to be agreed, s</w:t>
      </w:r>
      <w:r w:rsidR="00BF7D15">
        <w:t xml:space="preserve">ex, </w:t>
      </w:r>
      <w:r w:rsidR="00272A9C">
        <w:t xml:space="preserve">sexual orientation, </w:t>
      </w:r>
      <w:r w:rsidR="00BF7D15">
        <w:t>age, race, religion &amp; belief</w:t>
      </w:r>
      <w:r w:rsidR="00F30F50">
        <w:t xml:space="preserve">, </w:t>
      </w:r>
      <w:r w:rsidR="009315D1">
        <w:t xml:space="preserve">family status, </w:t>
      </w:r>
      <w:r w:rsidR="00272A9C">
        <w:t>civil (or mar</w:t>
      </w:r>
      <w:r w:rsidR="0020443B">
        <w:t xml:space="preserve">ital) status, </w:t>
      </w:r>
      <w:r w:rsidR="00811520">
        <w:t xml:space="preserve">gender reassignment or gender </w:t>
      </w:r>
      <w:r w:rsidR="00095091">
        <w:t>identity and disability</w:t>
      </w:r>
      <w:r w:rsidR="00F30F50">
        <w:t>).</w:t>
      </w:r>
    </w:p>
    <w:p w14:paraId="16C4282E" w14:textId="77777777" w:rsidR="001C58ED" w:rsidRDefault="001C58ED">
      <w:bookmarkStart w:id="3" w:name="Interrelated_rights"/>
      <w:bookmarkEnd w:id="3"/>
      <w:r>
        <w:t>The GDA executive has</w:t>
      </w:r>
      <w:r w:rsidR="00B10D85">
        <w:t xml:space="preserve">, for various </w:t>
      </w:r>
      <w:r w:rsidR="00E84321">
        <w:t>reasons, previously</w:t>
      </w:r>
      <w:r>
        <w:t xml:space="preserve"> </w:t>
      </w:r>
      <w:r w:rsidR="00EC6AF9">
        <w:t>expressed its support for expanding the protection of the legislation</w:t>
      </w:r>
      <w:r w:rsidR="004403D8">
        <w:t xml:space="preserve"> (with caveat that </w:t>
      </w:r>
      <w:r w:rsidR="00CD0828">
        <w:t>more resources must be available to en</w:t>
      </w:r>
      <w:r w:rsidR="00C11784">
        <w:t>s</w:t>
      </w:r>
      <w:r w:rsidR="00CD0828">
        <w:t>ure the project is not further delayed)</w:t>
      </w:r>
      <w:r w:rsidR="00B10D85">
        <w:t xml:space="preserve">, not least of which is that </w:t>
      </w:r>
      <w:r w:rsidR="006851C4">
        <w:t xml:space="preserve">disabled people </w:t>
      </w:r>
      <w:r w:rsidR="00EB4424">
        <w:t xml:space="preserve">may </w:t>
      </w:r>
      <w:r w:rsidR="006851C4">
        <w:t>experience combined</w:t>
      </w:r>
      <w:r w:rsidR="00F573D8">
        <w:t xml:space="preserve"> (</w:t>
      </w:r>
      <w:r w:rsidR="009D7759">
        <w:t xml:space="preserve">e.g. both </w:t>
      </w:r>
      <w:r w:rsidR="00BB47A0">
        <w:t xml:space="preserve">by reason </w:t>
      </w:r>
      <w:r w:rsidR="009D7759">
        <w:t xml:space="preserve">of being disabled and </w:t>
      </w:r>
      <w:r w:rsidR="00CB77C6">
        <w:t xml:space="preserve">of being </w:t>
      </w:r>
      <w:r w:rsidR="009D7759">
        <w:t>female</w:t>
      </w:r>
      <w:r w:rsidR="009B2B08">
        <w:t>)</w:t>
      </w:r>
      <w:r w:rsidR="006851C4">
        <w:t xml:space="preserve"> or </w:t>
      </w:r>
      <w:r w:rsidR="00617EF7">
        <w:t>intersectional</w:t>
      </w:r>
      <w:r w:rsidR="001722A4">
        <w:t xml:space="preserve"> discrimination</w:t>
      </w:r>
      <w:r w:rsidR="00CD1FB9">
        <w:t xml:space="preserve"> (e.g</w:t>
      </w:r>
      <w:r w:rsidR="00FB3F98">
        <w:t>.</w:t>
      </w:r>
      <w:r w:rsidR="00CD1FB9">
        <w:t xml:space="preserve"> disabled </w:t>
      </w:r>
      <w:r w:rsidR="006F01BA">
        <w:t>female</w:t>
      </w:r>
      <w:r w:rsidR="00CD1FB9">
        <w:t xml:space="preserve"> or disabled </w:t>
      </w:r>
      <w:r w:rsidR="006F01BA">
        <w:t>Muslim</w:t>
      </w:r>
      <w:r w:rsidR="006411EA">
        <w:t xml:space="preserve"> female</w:t>
      </w:r>
      <w:r w:rsidR="00CB77C6">
        <w:t>)</w:t>
      </w:r>
      <w:r w:rsidR="006E565C">
        <w:t>. The C</w:t>
      </w:r>
      <w:r w:rsidR="0017473C">
        <w:t xml:space="preserve">onvention on the Rights of Persons with Disabilities (CRPD) </w:t>
      </w:r>
      <w:r w:rsidR="006E565C">
        <w:t>recognises th</w:t>
      </w:r>
      <w:r w:rsidR="00FB3F98">
        <w:t xml:space="preserve">at </w:t>
      </w:r>
      <w:r w:rsidR="00544BF3">
        <w:t>combined and intersectional discrimination may be a significant issue</w:t>
      </w:r>
      <w:r w:rsidR="006E565C">
        <w:t xml:space="preserve"> and requires </w:t>
      </w:r>
      <w:r w:rsidR="007E73D4">
        <w:t xml:space="preserve">governments to provide for this </w:t>
      </w:r>
      <w:r w:rsidR="00737634">
        <w:t xml:space="preserve">protection </w:t>
      </w:r>
      <w:r w:rsidR="007E73D4">
        <w:t>within discrimination legislation</w:t>
      </w:r>
      <w:r w:rsidR="00D53ADB">
        <w:t xml:space="preserve">. </w:t>
      </w:r>
      <w:r w:rsidR="00471515">
        <w:t xml:space="preserve">In addition, rights are </w:t>
      </w:r>
      <w:r w:rsidR="002A190D">
        <w:t xml:space="preserve">inherent, </w:t>
      </w:r>
      <w:r w:rsidR="00471515">
        <w:t>indivisible</w:t>
      </w:r>
      <w:r w:rsidR="00B74255">
        <w:t xml:space="preserve"> and </w:t>
      </w:r>
      <w:r w:rsidR="00646D46">
        <w:t>interrelated</w:t>
      </w:r>
      <w:r w:rsidR="00B74255">
        <w:rPr>
          <w:rStyle w:val="EndnoteReference"/>
        </w:rPr>
        <w:endnoteReference w:id="2"/>
      </w:r>
      <w:r w:rsidR="004F201C">
        <w:t xml:space="preserve"> and </w:t>
      </w:r>
      <w:r w:rsidR="00D458D8">
        <w:t>legislation</w:t>
      </w:r>
      <w:r w:rsidR="002A190D">
        <w:t xml:space="preserve"> which fails to </w:t>
      </w:r>
      <w:r w:rsidR="00377F8A">
        <w:t>recognise and take account of</w:t>
      </w:r>
      <w:r w:rsidR="00074D9D">
        <w:t xml:space="preserve"> this</w:t>
      </w:r>
      <w:r w:rsidR="00377F8A">
        <w:t xml:space="preserve"> interrelation and indivisibility is unlikely to lead to full realisation of rights.</w:t>
      </w:r>
    </w:p>
    <w:p w14:paraId="7E463ADC" w14:textId="77777777" w:rsidR="00F30F50" w:rsidRDefault="00F30F50">
      <w:r>
        <w:t xml:space="preserve">The </w:t>
      </w:r>
      <w:r w:rsidR="00400335">
        <w:t xml:space="preserve">list of interested parties and groups has obviously </w:t>
      </w:r>
      <w:r w:rsidR="00BD7252">
        <w:t>grown,</w:t>
      </w:r>
      <w:r w:rsidR="00400335">
        <w:t xml:space="preserve"> </w:t>
      </w:r>
      <w:r w:rsidR="00060B18">
        <w:t xml:space="preserve">and it would be impractical to try to develop the legislation </w:t>
      </w:r>
      <w:r w:rsidR="00B15093">
        <w:t xml:space="preserve">using the previous </w:t>
      </w:r>
      <w:r w:rsidR="00790779">
        <w:t xml:space="preserve">interested </w:t>
      </w:r>
      <w:r w:rsidR="00013AD4">
        <w:t>party</w:t>
      </w:r>
      <w:r w:rsidR="004403D8">
        <w:t>,</w:t>
      </w:r>
      <w:r w:rsidR="00013AD4">
        <w:t xml:space="preserve"> single </w:t>
      </w:r>
      <w:r w:rsidR="00790779">
        <w:t xml:space="preserve">group model. </w:t>
      </w:r>
      <w:r w:rsidR="00750999">
        <w:t xml:space="preserve">At the same time, </w:t>
      </w:r>
      <w:r w:rsidR="00AD6534">
        <w:t xml:space="preserve">however, </w:t>
      </w:r>
      <w:r w:rsidR="0017473C">
        <w:t xml:space="preserve">ESS </w:t>
      </w:r>
      <w:r w:rsidR="00750999">
        <w:t xml:space="preserve">must </w:t>
      </w:r>
      <w:r w:rsidR="00AD6534">
        <w:t xml:space="preserve">still </w:t>
      </w:r>
      <w:r w:rsidR="009649AA">
        <w:t xml:space="preserve">ensure that </w:t>
      </w:r>
      <w:r w:rsidR="009743DC">
        <w:t>affected parties</w:t>
      </w:r>
      <w:r w:rsidR="009649AA">
        <w:t xml:space="preserve"> are actively involved and </w:t>
      </w:r>
      <w:r w:rsidR="00E8457C">
        <w:t>consulted</w:t>
      </w:r>
      <w:r w:rsidR="009649AA">
        <w:t xml:space="preserve">. </w:t>
      </w:r>
      <w:r w:rsidR="00E8457C">
        <w:t>Disabled people</w:t>
      </w:r>
      <w:r w:rsidR="003072C8">
        <w:t>, for example,</w:t>
      </w:r>
      <w:r w:rsidR="009649AA">
        <w:t xml:space="preserve"> have the </w:t>
      </w:r>
      <w:r w:rsidR="00AF39B0">
        <w:t>right, expressed</w:t>
      </w:r>
      <w:r w:rsidR="003072C8">
        <w:t xml:space="preserve"> in the Convention on the Rights of Persons with </w:t>
      </w:r>
      <w:r w:rsidR="005622AF">
        <w:t>Disabilities</w:t>
      </w:r>
      <w:r w:rsidR="0013642B">
        <w:rPr>
          <w:rStyle w:val="EndnoteReference"/>
        </w:rPr>
        <w:endnoteReference w:id="3"/>
      </w:r>
      <w:r w:rsidR="005622AF">
        <w:t>, to</w:t>
      </w:r>
      <w:r w:rsidR="003072C8">
        <w:t xml:space="preserve"> be </w:t>
      </w:r>
      <w:r w:rsidR="00AF39B0">
        <w:t>involved and consulted</w:t>
      </w:r>
      <w:r w:rsidR="003B0A14">
        <w:t xml:space="preserve">, </w:t>
      </w:r>
      <w:r w:rsidR="00E74AED">
        <w:t xml:space="preserve">through </w:t>
      </w:r>
      <w:r w:rsidR="0031566B">
        <w:t xml:space="preserve">their </w:t>
      </w:r>
      <w:r w:rsidR="00E74AED">
        <w:t>representative organisations such as the GDA</w:t>
      </w:r>
      <w:r w:rsidR="00CC6D31">
        <w:t>.</w:t>
      </w:r>
    </w:p>
    <w:p w14:paraId="674CF511" w14:textId="77777777" w:rsidR="00AF39B0" w:rsidRDefault="008C2B77">
      <w:r>
        <w:t>ESS</w:t>
      </w:r>
      <w:r w:rsidR="00AD0F57">
        <w:t xml:space="preserve"> </w:t>
      </w:r>
      <w:r w:rsidR="009A4A30">
        <w:t>h</w:t>
      </w:r>
      <w:r w:rsidR="009308FB">
        <w:t>as</w:t>
      </w:r>
      <w:r w:rsidR="009A4A30">
        <w:t xml:space="preserve"> </w:t>
      </w:r>
      <w:r w:rsidR="00F11AB7">
        <w:t>employ</w:t>
      </w:r>
      <w:r w:rsidR="003B6FDE">
        <w:t>ed</w:t>
      </w:r>
      <w:r w:rsidR="00F11AB7">
        <w:t xml:space="preserve"> the same experts who advised on the model of legislation </w:t>
      </w:r>
      <w:r w:rsidR="001516FA">
        <w:t>to advise on amendments and additions needed both to</w:t>
      </w:r>
      <w:r w:rsidR="00FC2CEB">
        <w:t xml:space="preserve"> deal with known issues and to </w:t>
      </w:r>
      <w:r w:rsidR="009A77AF">
        <w:t>ensure compliance with international conventions and to suit the Guernsey context.</w:t>
      </w:r>
      <w:r w:rsidR="00933AF4">
        <w:t xml:space="preserve"> ESS will, in </w:t>
      </w:r>
      <w:r w:rsidR="00933AF4">
        <w:lastRenderedPageBreak/>
        <w:t xml:space="preserve">turn, consult with </w:t>
      </w:r>
      <w:r w:rsidR="00F05334">
        <w:t xml:space="preserve">relevant </w:t>
      </w:r>
      <w:r w:rsidR="00933AF4">
        <w:t xml:space="preserve">groups </w:t>
      </w:r>
      <w:r w:rsidR="0094003F">
        <w:t xml:space="preserve">on </w:t>
      </w:r>
      <w:r w:rsidR="00F05334">
        <w:t xml:space="preserve">parts of the </w:t>
      </w:r>
      <w:r w:rsidR="00393CC6">
        <w:t xml:space="preserve">proposed </w:t>
      </w:r>
      <w:r w:rsidR="00D81438">
        <w:t>legislation</w:t>
      </w:r>
      <w:r w:rsidR="00F05334">
        <w:t xml:space="preserve"> which </w:t>
      </w:r>
      <w:r w:rsidR="00D81438">
        <w:t>may affect the people represented by those groups.</w:t>
      </w:r>
    </w:p>
    <w:p w14:paraId="0E6283CA" w14:textId="77777777" w:rsidR="001536A8" w:rsidRDefault="001536A8">
      <w:r>
        <w:t xml:space="preserve">The goal is to have the policy letter completed and </w:t>
      </w:r>
      <w:r w:rsidR="00E40852">
        <w:t xml:space="preserve">sent to the States for </w:t>
      </w:r>
      <w:r>
        <w:t>debate</w:t>
      </w:r>
      <w:r w:rsidR="00E40852">
        <w:t xml:space="preserve"> before the end of 2019.</w:t>
      </w:r>
    </w:p>
    <w:p w14:paraId="7466A476" w14:textId="77777777" w:rsidR="003433C0" w:rsidRDefault="003433C0" w:rsidP="003433C0">
      <w:pPr>
        <w:pStyle w:val="Subtitle"/>
      </w:pPr>
      <w:r>
        <w:t>What else is involved?</w:t>
      </w:r>
    </w:p>
    <w:p w14:paraId="20C03908" w14:textId="77777777" w:rsidR="003433C0" w:rsidRPr="006A29FC" w:rsidRDefault="003433C0" w:rsidP="003433C0">
      <w:r w:rsidRPr="006A29FC">
        <w:t xml:space="preserve">Whilst representative groups, such as the GDA, Liberate and so on, </w:t>
      </w:r>
      <w:r w:rsidR="00C56A67">
        <w:t>are</w:t>
      </w:r>
      <w:r w:rsidRPr="006A29FC">
        <w:t xml:space="preserve"> actively involved in the process of developing policy and legislation, there is also a need to consult more widely</w:t>
      </w:r>
      <w:r w:rsidR="00B95D36">
        <w:t>, at some stage,</w:t>
      </w:r>
      <w:r w:rsidRPr="006A29FC">
        <w:t xml:space="preserve"> with employers, service providers and indeed with the general public. </w:t>
      </w:r>
      <w:r w:rsidR="008962CE" w:rsidRPr="006A29FC">
        <w:t xml:space="preserve">The proposed date for this consultation has not </w:t>
      </w:r>
      <w:r w:rsidR="00C56A67">
        <w:t xml:space="preserve">yet </w:t>
      </w:r>
      <w:r w:rsidR="008962CE" w:rsidRPr="006A29FC">
        <w:t>been made public.</w:t>
      </w:r>
    </w:p>
    <w:p w14:paraId="0958AC9F" w14:textId="77777777" w:rsidR="003433C0" w:rsidRPr="006A29FC" w:rsidRDefault="003433C0" w:rsidP="003433C0">
      <w:r w:rsidRPr="006A29FC">
        <w:t>The policies and provisions of the legislation will generate a number of requirements which must be considered, and resourced, for example:</w:t>
      </w:r>
    </w:p>
    <w:p w14:paraId="29E2F288" w14:textId="77777777" w:rsidR="003433C0" w:rsidRDefault="003433C0" w:rsidP="003433C0">
      <w:pPr>
        <w:pStyle w:val="ListParagraph"/>
        <w:numPr>
          <w:ilvl w:val="0"/>
          <w:numId w:val="1"/>
        </w:numPr>
      </w:pPr>
      <w:r w:rsidRPr="006A29FC">
        <w:t>Written guidance about the legislation for employers, employees, service providers (including educators) and users</w:t>
      </w:r>
      <w:r w:rsidR="00B97FCC">
        <w:t>,</w:t>
      </w:r>
    </w:p>
    <w:p w14:paraId="027F09AD" w14:textId="77777777" w:rsidR="001371D6" w:rsidRPr="006A29FC" w:rsidRDefault="001371D6" w:rsidP="003433C0">
      <w:pPr>
        <w:pStyle w:val="ListParagraph"/>
        <w:numPr>
          <w:ilvl w:val="0"/>
          <w:numId w:val="1"/>
        </w:numPr>
      </w:pPr>
      <w:r>
        <w:t xml:space="preserve">System for setting, training, </w:t>
      </w:r>
      <w:r w:rsidR="00493B28">
        <w:t xml:space="preserve">monitoring and enforcing accessibility standards (more </w:t>
      </w:r>
      <w:r w:rsidR="004C5DEB">
        <w:t xml:space="preserve">info </w:t>
      </w:r>
      <w:r w:rsidR="00493B28">
        <w:t>b</w:t>
      </w:r>
      <w:r w:rsidR="004C5DEB">
        <w:t>elow),</w:t>
      </w:r>
    </w:p>
    <w:p w14:paraId="5EA2E326" w14:textId="77777777" w:rsidR="003433C0" w:rsidRPr="006A29FC" w:rsidRDefault="003433C0" w:rsidP="003433C0">
      <w:pPr>
        <w:pStyle w:val="ListParagraph"/>
        <w:numPr>
          <w:ilvl w:val="0"/>
          <w:numId w:val="1"/>
        </w:numPr>
      </w:pPr>
      <w:r w:rsidRPr="006A29FC">
        <w:t>Systems for providing advice to employers, employees, service providers and users about the legislation</w:t>
      </w:r>
      <w:r w:rsidR="00D47A25">
        <w:t>,</w:t>
      </w:r>
    </w:p>
    <w:p w14:paraId="29F11694" w14:textId="77777777" w:rsidR="0017473C" w:rsidRDefault="0017473C" w:rsidP="003433C0">
      <w:pPr>
        <w:pStyle w:val="ListParagraph"/>
        <w:numPr>
          <w:ilvl w:val="0"/>
          <w:numId w:val="1"/>
        </w:numPr>
      </w:pPr>
      <w:r>
        <w:t>S</w:t>
      </w:r>
      <w:r w:rsidR="003433C0" w:rsidRPr="006A29FC">
        <w:t>ystems for the general promotion of human rights (something which all parties to the Universal Declaration of Human Rights should put in place and something which is specifically required by the CRPD with regard the promotion and awareness raising of the rights of persons with disabilities)</w:t>
      </w:r>
      <w:r>
        <w:t xml:space="preserve">. Although not a requirement of discrimination legislation, the GDA argues that increased knowledge of </w:t>
      </w:r>
      <w:r w:rsidR="004128BF">
        <w:t>rights will help to ensure better acceptance of the legislation.</w:t>
      </w:r>
      <w:r>
        <w:t xml:space="preserve"> </w:t>
      </w:r>
      <w:r w:rsidR="003433C0" w:rsidRPr="006A29FC">
        <w:t xml:space="preserve"> </w:t>
      </w:r>
    </w:p>
    <w:p w14:paraId="20FBFA38" w14:textId="77777777" w:rsidR="003433C0" w:rsidRPr="006A29FC" w:rsidRDefault="003433C0" w:rsidP="003433C0">
      <w:pPr>
        <w:pStyle w:val="ListParagraph"/>
        <w:numPr>
          <w:ilvl w:val="0"/>
          <w:numId w:val="1"/>
        </w:numPr>
      </w:pPr>
      <w:r w:rsidRPr="006A29FC">
        <w:t>Systems for administering and resolving complaints brought under the legislation</w:t>
      </w:r>
      <w:r w:rsidR="001371D6">
        <w:t>,</w:t>
      </w:r>
    </w:p>
    <w:p w14:paraId="7DBAF0A2" w14:textId="77777777" w:rsidR="003433C0" w:rsidRPr="006A29FC" w:rsidRDefault="003433C0" w:rsidP="003433C0">
      <w:pPr>
        <w:pStyle w:val="ListParagraph"/>
        <w:numPr>
          <w:ilvl w:val="0"/>
          <w:numId w:val="1"/>
        </w:numPr>
      </w:pPr>
      <w:r w:rsidRPr="006A29FC">
        <w:t>Systems for independent monitoring of compliance with international conventions (</w:t>
      </w:r>
      <w:r w:rsidR="004128BF">
        <w:t xml:space="preserve">Although not specifically required in connection with discrimination legislation, but will be required by </w:t>
      </w:r>
      <w:r w:rsidRPr="006A29FC">
        <w:t>CRPD, etc)</w:t>
      </w:r>
      <w:r w:rsidR="001371D6">
        <w:t>, and</w:t>
      </w:r>
    </w:p>
    <w:p w14:paraId="07AE8332" w14:textId="77777777" w:rsidR="003433C0" w:rsidRPr="006A29FC" w:rsidRDefault="003433C0" w:rsidP="003433C0">
      <w:pPr>
        <w:pStyle w:val="ListParagraph"/>
        <w:numPr>
          <w:ilvl w:val="0"/>
          <w:numId w:val="1"/>
        </w:numPr>
      </w:pPr>
      <w:r w:rsidRPr="006A29FC">
        <w:t xml:space="preserve">Systems for monitoring the effectiveness of </w:t>
      </w:r>
      <w:r w:rsidR="002B7323">
        <w:t xml:space="preserve">the </w:t>
      </w:r>
      <w:r w:rsidRPr="006A29FC">
        <w:t>legislation and complaint resolution.</w:t>
      </w:r>
    </w:p>
    <w:p w14:paraId="4CEBD0E2" w14:textId="77777777" w:rsidR="003433C0" w:rsidRPr="006A29FC" w:rsidRDefault="003433C0" w:rsidP="003433C0">
      <w:r w:rsidRPr="006A29FC">
        <w:t>It is hoped that the proposed Equality and Rights organisation might take on some of these duties and that the existing Employment and Discrimination Tribunal could be adequately resourced and trained to deal with complaints which have not be resolved through other informal resolution processes (perhaps through the ERO or the existing Employment Relations Service).</w:t>
      </w:r>
    </w:p>
    <w:p w14:paraId="0DB93F07" w14:textId="77777777" w:rsidR="006A29FC" w:rsidRDefault="003433C0" w:rsidP="006231F8">
      <w:pPr>
        <w:pStyle w:val="NoSpacing"/>
      </w:pPr>
      <w:r w:rsidRPr="006A29FC">
        <w:t>Readers will note the importance of the proposed ERO but it is fair to say that progress on developing the business plan (not business case) required by States Resolution of November 2013 is still very slow.</w:t>
      </w:r>
    </w:p>
    <w:p w14:paraId="16B3A99E" w14:textId="77777777" w:rsidR="006231F8" w:rsidRPr="006A29FC" w:rsidRDefault="006231F8" w:rsidP="006231F8">
      <w:pPr>
        <w:pStyle w:val="NoSpacing"/>
      </w:pPr>
    </w:p>
    <w:p w14:paraId="057EBD1D" w14:textId="77777777" w:rsidR="006A29FC" w:rsidRPr="006A29FC" w:rsidRDefault="006A29FC" w:rsidP="006A29FC">
      <w:r w:rsidRPr="006A29FC">
        <w:t xml:space="preserve">Once consultation </w:t>
      </w:r>
      <w:r w:rsidR="006231F8">
        <w:t xml:space="preserve">is </w:t>
      </w:r>
      <w:r w:rsidRPr="006A29FC">
        <w:t>complete</w:t>
      </w:r>
      <w:r w:rsidR="008B547F">
        <w:t>,</w:t>
      </w:r>
      <w:r w:rsidRPr="006A29FC">
        <w:t xml:space="preserve"> then ESS will </w:t>
      </w:r>
      <w:r w:rsidR="000E7931">
        <w:t xml:space="preserve">be able to </w:t>
      </w:r>
      <w:r w:rsidRPr="006A29FC">
        <w:t xml:space="preserve">complete the </w:t>
      </w:r>
      <w:r w:rsidR="007B2D75">
        <w:t>P</w:t>
      </w:r>
      <w:r w:rsidRPr="006A29FC">
        <w:t xml:space="preserve">olicy </w:t>
      </w:r>
      <w:r w:rsidR="007B2D75">
        <w:t>L</w:t>
      </w:r>
      <w:r w:rsidRPr="006A29FC">
        <w:t xml:space="preserve">etter which will go to the States for debate. Because all </w:t>
      </w:r>
      <w:r w:rsidR="000E7931">
        <w:t xml:space="preserve">the </w:t>
      </w:r>
      <w:r w:rsidRPr="006A29FC">
        <w:t xml:space="preserve">main provisions and concepts will have been set out within the </w:t>
      </w:r>
      <w:r w:rsidR="007B2D75">
        <w:t>P</w:t>
      </w:r>
      <w:r w:rsidRPr="006A29FC">
        <w:t xml:space="preserve">olicy </w:t>
      </w:r>
      <w:r w:rsidR="007B2D75">
        <w:t>L</w:t>
      </w:r>
      <w:r w:rsidRPr="006A29FC">
        <w:t xml:space="preserve">etter and because we will be adopting much of the legislation from </w:t>
      </w:r>
      <w:r w:rsidRPr="006A29FC">
        <w:lastRenderedPageBreak/>
        <w:t>existing Irish and Australian legislation, the process of actually drafting the legislation should be relatively swift (albeit the States Debate could result in amendments).</w:t>
      </w:r>
      <w:r w:rsidR="004128BF">
        <w:t xml:space="preserve"> However, the drafting will still have to be prioritised, and take its place in the queue, before drafting can commence. This process is outside of ESS’s hands</w:t>
      </w:r>
    </w:p>
    <w:p w14:paraId="6A29A32D" w14:textId="77777777" w:rsidR="003266C4" w:rsidRPr="008962CE" w:rsidRDefault="00271B7E" w:rsidP="009B5A3D">
      <w:pPr>
        <w:pStyle w:val="Subtitle"/>
        <w:rPr>
          <w:b/>
          <w:sz w:val="28"/>
        </w:rPr>
      </w:pPr>
      <w:r w:rsidRPr="008962CE">
        <w:rPr>
          <w:b/>
          <w:sz w:val="28"/>
        </w:rPr>
        <w:t xml:space="preserve">ESS has consulted with GDA on certain </w:t>
      </w:r>
      <w:r w:rsidR="00CD3A3B" w:rsidRPr="008962CE">
        <w:rPr>
          <w:b/>
          <w:sz w:val="28"/>
        </w:rPr>
        <w:t xml:space="preserve">critical </w:t>
      </w:r>
      <w:r w:rsidR="008931AA" w:rsidRPr="008962CE">
        <w:rPr>
          <w:b/>
          <w:sz w:val="28"/>
        </w:rPr>
        <w:t>legal provisions</w:t>
      </w:r>
    </w:p>
    <w:p w14:paraId="5A65E48A" w14:textId="77777777" w:rsidR="00F8687D" w:rsidRDefault="009B5A3D" w:rsidP="009B5A3D">
      <w:r>
        <w:t>The GDA</w:t>
      </w:r>
      <w:r w:rsidR="00D247BB">
        <w:t xml:space="preserve">, through its representatives involved with this </w:t>
      </w:r>
      <w:r w:rsidR="00F8687D">
        <w:t xml:space="preserve">Disability Strategy </w:t>
      </w:r>
      <w:r w:rsidR="00F07FA5">
        <w:t>w</w:t>
      </w:r>
      <w:r w:rsidR="00F8687D">
        <w:t xml:space="preserve">orkstream </w:t>
      </w:r>
      <w:r w:rsidR="00D247BB">
        <w:t>(Rob Platts and Rob Harnish</w:t>
      </w:r>
      <w:r w:rsidR="00F1224D">
        <w:t>)</w:t>
      </w:r>
      <w:r w:rsidR="00D247BB">
        <w:t xml:space="preserve"> </w:t>
      </w:r>
      <w:r>
        <w:t>has recently been c</w:t>
      </w:r>
      <w:r w:rsidR="00F1224D">
        <w:t xml:space="preserve">onsulted on </w:t>
      </w:r>
      <w:r w:rsidR="00BC6790">
        <w:t xml:space="preserve">a number </w:t>
      </w:r>
      <w:r w:rsidR="00C45143">
        <w:t xml:space="preserve">of </w:t>
      </w:r>
      <w:r w:rsidR="00DF78DA">
        <w:t xml:space="preserve">critical provisions which </w:t>
      </w:r>
      <w:r w:rsidR="003967B2">
        <w:t>are likely to</w:t>
      </w:r>
      <w:r w:rsidR="00DF78DA">
        <w:t xml:space="preserve"> be included in the </w:t>
      </w:r>
      <w:r w:rsidR="00C45143">
        <w:t xml:space="preserve">legislation. These include </w:t>
      </w:r>
      <w:r w:rsidR="008A7ACF">
        <w:t xml:space="preserve">the way disability should be explained or defined </w:t>
      </w:r>
      <w:r w:rsidR="005F0A67">
        <w:t xml:space="preserve">and how </w:t>
      </w:r>
      <w:r w:rsidR="00DC68ED">
        <w:t xml:space="preserve">duties relating to </w:t>
      </w:r>
      <w:r w:rsidR="00E959F0">
        <w:t>makin</w:t>
      </w:r>
      <w:r w:rsidR="008817EC">
        <w:t xml:space="preserve">g </w:t>
      </w:r>
      <w:r w:rsidR="00E959F0">
        <w:t>adjustments</w:t>
      </w:r>
      <w:r w:rsidR="009E7DF1">
        <w:t xml:space="preserve">, </w:t>
      </w:r>
      <w:r w:rsidR="008817EC">
        <w:t xml:space="preserve">needed </w:t>
      </w:r>
      <w:r w:rsidR="00E959F0">
        <w:t xml:space="preserve">to accommodate </w:t>
      </w:r>
      <w:r w:rsidR="003A38A5">
        <w:t xml:space="preserve">the needs of </w:t>
      </w:r>
      <w:r w:rsidR="009E700F">
        <w:t xml:space="preserve">individual </w:t>
      </w:r>
      <w:r w:rsidR="003A38A5">
        <w:t>disabled employees and service users</w:t>
      </w:r>
      <w:r w:rsidR="005E5520">
        <w:t xml:space="preserve"> </w:t>
      </w:r>
      <w:r w:rsidR="003A38A5">
        <w:t>could be addressed</w:t>
      </w:r>
      <w:r w:rsidR="005E5520">
        <w:t>. T</w:t>
      </w:r>
      <w:r w:rsidR="008F4046">
        <w:t xml:space="preserve">he GDA </w:t>
      </w:r>
      <w:r w:rsidR="007A4637">
        <w:t xml:space="preserve">and </w:t>
      </w:r>
      <w:r w:rsidR="00025136">
        <w:t xml:space="preserve">Access for All </w:t>
      </w:r>
      <w:r w:rsidR="008F4046">
        <w:t>w</w:t>
      </w:r>
      <w:r w:rsidR="00025136">
        <w:t>ere</w:t>
      </w:r>
      <w:r w:rsidR="008F4046">
        <w:t xml:space="preserve"> </w:t>
      </w:r>
      <w:r w:rsidR="005E5520">
        <w:t xml:space="preserve">also </w:t>
      </w:r>
      <w:r w:rsidR="008F4046">
        <w:t xml:space="preserve">consulted on </w:t>
      </w:r>
      <w:r w:rsidR="007A4637">
        <w:t xml:space="preserve">how the whole issue of accessibility should </w:t>
      </w:r>
      <w:r w:rsidR="00025136">
        <w:t>be</w:t>
      </w:r>
      <w:r w:rsidR="007A4637">
        <w:t xml:space="preserve"> a</w:t>
      </w:r>
      <w:r w:rsidR="00F21C6D">
        <w:t>pproached</w:t>
      </w:r>
      <w:r w:rsidR="007A4637">
        <w:t>.</w:t>
      </w:r>
      <w:r w:rsidR="00025136">
        <w:t xml:space="preserve"> </w:t>
      </w:r>
    </w:p>
    <w:p w14:paraId="11FD7141" w14:textId="77777777" w:rsidR="00152DB2" w:rsidRPr="008A2751" w:rsidRDefault="00152DB2" w:rsidP="00A159D4">
      <w:pPr>
        <w:ind w:left="720"/>
        <w:rPr>
          <w:rStyle w:val="SubtleEmphasis"/>
        </w:rPr>
      </w:pPr>
      <w:bookmarkStart w:id="4" w:name="Defining_disability"/>
      <w:r w:rsidRPr="008A2751">
        <w:rPr>
          <w:rStyle w:val="SubtleEmphasis"/>
        </w:rPr>
        <w:t>Explaining or defining Disability</w:t>
      </w:r>
      <w:bookmarkEnd w:id="4"/>
      <w:r w:rsidR="00A159D4" w:rsidRPr="008A2751">
        <w:rPr>
          <w:rStyle w:val="SubtleEmphasis"/>
        </w:rPr>
        <w:t>:</w:t>
      </w:r>
    </w:p>
    <w:p w14:paraId="42EE8C67" w14:textId="77777777" w:rsidR="001A6C82" w:rsidRDefault="00A159D4" w:rsidP="00A159D4">
      <w:pPr>
        <w:ind w:left="720"/>
      </w:pPr>
      <w:r>
        <w:t>The GDA</w:t>
      </w:r>
      <w:r w:rsidR="0067668D">
        <w:t>’s research</w:t>
      </w:r>
      <w:r w:rsidR="00391595">
        <w:rPr>
          <w:rStyle w:val="EndnoteReference"/>
        </w:rPr>
        <w:endnoteReference w:id="4"/>
      </w:r>
      <w:r w:rsidR="0067668D">
        <w:t xml:space="preserve"> </w:t>
      </w:r>
      <w:r w:rsidR="00521729">
        <w:t xml:space="preserve">highlights that </w:t>
      </w:r>
      <w:r w:rsidR="001B0214">
        <w:t xml:space="preserve">narrowly defining a group of </w:t>
      </w:r>
      <w:r w:rsidR="00F112B2">
        <w:t xml:space="preserve">disabled </w:t>
      </w:r>
      <w:r w:rsidR="001B0214">
        <w:t xml:space="preserve">people </w:t>
      </w:r>
      <w:r w:rsidR="001F2808">
        <w:t xml:space="preserve">able to claim </w:t>
      </w:r>
      <w:r w:rsidR="00D01E79">
        <w:t>protection</w:t>
      </w:r>
      <w:r w:rsidR="00EA752D">
        <w:t xml:space="preserve"> </w:t>
      </w:r>
      <w:r w:rsidR="001F7564">
        <w:t xml:space="preserve">from discrimination by reason of disability </w:t>
      </w:r>
      <w:r w:rsidR="00EA752D">
        <w:t>(</w:t>
      </w:r>
      <w:r w:rsidR="00D01E79">
        <w:t xml:space="preserve">as the UK and USA legislation does, for </w:t>
      </w:r>
      <w:r w:rsidR="004D7EA9">
        <w:t>example</w:t>
      </w:r>
      <w:r w:rsidR="00EA752D">
        <w:t xml:space="preserve">) </w:t>
      </w:r>
      <w:r w:rsidR="00B964D1">
        <w:t xml:space="preserve">leads to inferior legislation </w:t>
      </w:r>
      <w:r w:rsidR="00DA54B7">
        <w:t xml:space="preserve">protecting </w:t>
      </w:r>
      <w:r w:rsidR="00FF73B1">
        <w:t>the ground of disability</w:t>
      </w:r>
      <w:r w:rsidR="00830DDA">
        <w:t>.</w:t>
      </w:r>
      <w:r w:rsidR="00684938">
        <w:t xml:space="preserve"> </w:t>
      </w:r>
      <w:r w:rsidR="00A41697">
        <w:t xml:space="preserve">Such an approach shifts the </w:t>
      </w:r>
      <w:r w:rsidR="000E2B91">
        <w:t>initial</w:t>
      </w:r>
      <w:r w:rsidR="006E6070">
        <w:t xml:space="preserve"> focus </w:t>
      </w:r>
      <w:r w:rsidR="000E2B91">
        <w:t xml:space="preserve">of courts and tribunals </w:t>
      </w:r>
      <w:r w:rsidR="006E6070">
        <w:t xml:space="preserve">from establishing </w:t>
      </w:r>
      <w:r w:rsidR="00FC1CF6">
        <w:t xml:space="preserve">a </w:t>
      </w:r>
      <w:r w:rsidR="00CD12C2">
        <w:t>prima facie</w:t>
      </w:r>
      <w:r w:rsidR="00211E5F">
        <w:t xml:space="preserve"> (</w:t>
      </w:r>
      <w:r w:rsidR="00CD12C2">
        <w:t>at</w:t>
      </w:r>
      <w:r w:rsidR="00211E5F">
        <w:t xml:space="preserve"> first look) </w:t>
      </w:r>
      <w:r w:rsidR="006E6070">
        <w:t xml:space="preserve">case of disability related </w:t>
      </w:r>
      <w:r w:rsidR="000E2B91">
        <w:t>discrimination</w:t>
      </w:r>
      <w:r w:rsidR="00211E5F">
        <w:t>,</w:t>
      </w:r>
      <w:r w:rsidR="000E2B91">
        <w:t xml:space="preserve"> to instead establishing</w:t>
      </w:r>
      <w:r w:rsidR="00C4008E">
        <w:t xml:space="preserve"> </w:t>
      </w:r>
      <w:r w:rsidR="00F13349">
        <w:t>(</w:t>
      </w:r>
      <w:r w:rsidR="00C4008E">
        <w:t xml:space="preserve">and thereby inviting </w:t>
      </w:r>
      <w:r w:rsidR="00FB4F39">
        <w:t xml:space="preserve">unhelpful </w:t>
      </w:r>
      <w:r w:rsidR="008534F6">
        <w:t>and inequitable</w:t>
      </w:r>
      <w:r w:rsidR="002E4727">
        <w:t>,</w:t>
      </w:r>
      <w:r w:rsidR="008534F6">
        <w:t xml:space="preserve"> </w:t>
      </w:r>
      <w:r w:rsidR="00F95BFA">
        <w:t>and often personally invasive</w:t>
      </w:r>
      <w:r w:rsidR="002E4727">
        <w:t xml:space="preserve">, </w:t>
      </w:r>
      <w:r w:rsidR="00C4008E">
        <w:t>legal</w:t>
      </w:r>
      <w:r w:rsidR="000E2B91">
        <w:t xml:space="preserve"> </w:t>
      </w:r>
      <w:r w:rsidR="00C4008E">
        <w:t>argument</w:t>
      </w:r>
      <w:r w:rsidR="002E4480">
        <w:t xml:space="preserve"> abou</w:t>
      </w:r>
      <w:r w:rsidR="00314B8D">
        <w:t>t</w:t>
      </w:r>
      <w:r w:rsidR="00C4008E">
        <w:t xml:space="preserve">) </w:t>
      </w:r>
      <w:r w:rsidR="00A91342">
        <w:t>whether a person is qualified to</w:t>
      </w:r>
      <w:r w:rsidR="008534F6">
        <w:t xml:space="preserve"> claim</w:t>
      </w:r>
      <w:r w:rsidR="00A91342">
        <w:t xml:space="preserve"> protection from discrimination. </w:t>
      </w:r>
      <w:r w:rsidR="002E4480">
        <w:t xml:space="preserve">This </w:t>
      </w:r>
      <w:r w:rsidR="00446628">
        <w:t>additional step to gaining protection is not customarily required when claiming protection under other ground</w:t>
      </w:r>
      <w:r w:rsidR="00300016">
        <w:t>s</w:t>
      </w:r>
      <w:r w:rsidR="00570109">
        <w:t>.</w:t>
      </w:r>
    </w:p>
    <w:p w14:paraId="548D1153" w14:textId="77777777" w:rsidR="00F74B6B" w:rsidRDefault="00ED2B05" w:rsidP="00A159D4">
      <w:pPr>
        <w:ind w:left="720"/>
      </w:pPr>
      <w:r>
        <w:t xml:space="preserve">The definitions of disability </w:t>
      </w:r>
      <w:r w:rsidR="00220311">
        <w:t xml:space="preserve">contained within both the Irish and Australian legislation are </w:t>
      </w:r>
      <w:r w:rsidR="00252BEE">
        <w:t>reasonably broad</w:t>
      </w:r>
      <w:r w:rsidR="001E5C77">
        <w:t>,</w:t>
      </w:r>
      <w:r w:rsidR="00252BEE">
        <w:t xml:space="preserve"> but</w:t>
      </w:r>
      <w:r w:rsidR="001E5C77">
        <w:t>,</w:t>
      </w:r>
      <w:r w:rsidR="00252BEE">
        <w:t xml:space="preserve"> arguably</w:t>
      </w:r>
      <w:r w:rsidR="001E5C77">
        <w:t>,</w:t>
      </w:r>
      <w:r w:rsidR="00252BEE">
        <w:t xml:space="preserve"> </w:t>
      </w:r>
      <w:r w:rsidR="0030245D">
        <w:t xml:space="preserve">the definitions are a </w:t>
      </w:r>
      <w:r w:rsidR="00575F9E">
        <w:t>based on</w:t>
      </w:r>
      <w:r w:rsidR="00230667">
        <w:t xml:space="preserve"> </w:t>
      </w:r>
      <w:r w:rsidR="0030245D">
        <w:t>list</w:t>
      </w:r>
      <w:r w:rsidR="00230667">
        <w:t>s</w:t>
      </w:r>
      <w:r w:rsidR="0030245D">
        <w:t xml:space="preserve"> of impairment groups (medical model), rather than an explanation of disability which is in line with the </w:t>
      </w:r>
      <w:r w:rsidR="00421A12">
        <w:t>“evolving concept”</w:t>
      </w:r>
      <w:r w:rsidR="008E0922">
        <w:t xml:space="preserve"> </w:t>
      </w:r>
      <w:r w:rsidR="00B76D28">
        <w:t>offered by the CRPD</w:t>
      </w:r>
      <w:r w:rsidR="007E34E2">
        <w:rPr>
          <w:rStyle w:val="EndnoteReference"/>
        </w:rPr>
        <w:endnoteReference w:id="5"/>
      </w:r>
      <w:r w:rsidR="0041056F">
        <w:t xml:space="preserve"> (</w:t>
      </w:r>
      <w:r w:rsidR="00091E14">
        <w:t>i.e.</w:t>
      </w:r>
      <w:r w:rsidR="0041056F">
        <w:t xml:space="preserve"> a condition resulting from the interaction </w:t>
      </w:r>
      <w:r w:rsidR="003C4BFB">
        <w:t xml:space="preserve">between impairments and barriers).  </w:t>
      </w:r>
      <w:r w:rsidR="00091E14">
        <w:t>The</w:t>
      </w:r>
      <w:r w:rsidR="003E0EF9">
        <w:t xml:space="preserve"> GDA is concerned that legislation </w:t>
      </w:r>
      <w:r w:rsidR="0096341C">
        <w:t>based on</w:t>
      </w:r>
      <w:r w:rsidR="003E0EF9">
        <w:t xml:space="preserve"> a medical model understanding </w:t>
      </w:r>
      <w:r w:rsidR="0096341C">
        <w:t xml:space="preserve">of disability </w:t>
      </w:r>
      <w:r w:rsidR="00E5308B">
        <w:t xml:space="preserve">will fail to </w:t>
      </w:r>
      <w:r w:rsidR="00C85FE0">
        <w:t xml:space="preserve">deliver a </w:t>
      </w:r>
      <w:r w:rsidR="001A6C82">
        <w:t>rights-based</w:t>
      </w:r>
      <w:r w:rsidR="00C85FE0">
        <w:t xml:space="preserve"> approach</w:t>
      </w:r>
      <w:r w:rsidR="008210E3">
        <w:t xml:space="preserve"> to barrier removal </w:t>
      </w:r>
      <w:r w:rsidR="00105B25">
        <w:t>and will do little to combat</w:t>
      </w:r>
      <w:r w:rsidR="00A33396">
        <w:t xml:space="preserve"> </w:t>
      </w:r>
      <w:r w:rsidR="009A4291">
        <w:t>stereotypes</w:t>
      </w:r>
      <w:r w:rsidR="00A33396">
        <w:t xml:space="preserve"> and stigma associated with persons with </w:t>
      </w:r>
      <w:r w:rsidR="009A4291">
        <w:t>disabilities</w:t>
      </w:r>
      <w:r w:rsidR="00721D5B">
        <w:t xml:space="preserve">. The </w:t>
      </w:r>
      <w:r w:rsidR="00F93DFD">
        <w:t xml:space="preserve">GDA’s view is supported by </w:t>
      </w:r>
      <w:r w:rsidR="00EB51DC">
        <w:t xml:space="preserve">the </w:t>
      </w:r>
      <w:r w:rsidR="00511A0F">
        <w:t>Committee for the Convention on the Rights of Persons with Disabili</w:t>
      </w:r>
      <w:r w:rsidR="00665C19">
        <w:t>ties</w:t>
      </w:r>
      <w:r w:rsidR="00BD6338">
        <w:t xml:space="preserve"> (Committee for the CRPD)</w:t>
      </w:r>
      <w:r w:rsidR="00F93DFD">
        <w:t xml:space="preserve"> </w:t>
      </w:r>
      <w:r w:rsidR="00665C19">
        <w:t>General Comment</w:t>
      </w:r>
      <w:r w:rsidR="006B221C">
        <w:rPr>
          <w:rStyle w:val="EndnoteReference"/>
        </w:rPr>
        <w:endnoteReference w:id="6"/>
      </w:r>
      <w:r w:rsidR="00665C19">
        <w:t xml:space="preserve"> </w:t>
      </w:r>
      <w:r w:rsidR="001078AF">
        <w:t>.</w:t>
      </w:r>
    </w:p>
    <w:p w14:paraId="42DE890D" w14:textId="77777777" w:rsidR="005E517E" w:rsidRDefault="003C4BFB" w:rsidP="00A159D4">
      <w:pPr>
        <w:ind w:left="720"/>
      </w:pPr>
      <w:r>
        <w:t xml:space="preserve">The GDA has argued that </w:t>
      </w:r>
      <w:r w:rsidR="001D0D29">
        <w:t xml:space="preserve">if the Irish </w:t>
      </w:r>
      <w:r w:rsidR="00B964FC">
        <w:t>(</w:t>
      </w:r>
      <w:r w:rsidR="001D0D29">
        <w:t>list of impairment</w:t>
      </w:r>
      <w:r w:rsidR="00B964FC">
        <w:t>)</w:t>
      </w:r>
      <w:r w:rsidR="001D0D29">
        <w:t xml:space="preserve"> approach is to be followed, reference to “Chronic </w:t>
      </w:r>
      <w:r w:rsidR="00EB65E8">
        <w:t>illness</w:t>
      </w:r>
      <w:r w:rsidR="001D0D29">
        <w:t>”</w:t>
      </w:r>
      <w:r w:rsidR="00EB65E8">
        <w:t xml:space="preserve"> should be amended or removed</w:t>
      </w:r>
      <w:r w:rsidR="005468F6">
        <w:t xml:space="preserve"> as</w:t>
      </w:r>
      <w:r w:rsidR="00EB65E8">
        <w:t xml:space="preserve"> the </w:t>
      </w:r>
      <w:r w:rsidR="005468F6">
        <w:t>term</w:t>
      </w:r>
      <w:r w:rsidR="00EB65E8">
        <w:t xml:space="preserve"> </w:t>
      </w:r>
      <w:r w:rsidR="00401EB9">
        <w:t>“</w:t>
      </w:r>
      <w:r w:rsidR="00EB65E8">
        <w:t>chronic</w:t>
      </w:r>
      <w:r w:rsidR="00401EB9">
        <w:t>”</w:t>
      </w:r>
      <w:r w:rsidR="00C505FC">
        <w:t xml:space="preserve"> could be interpreted as </w:t>
      </w:r>
      <w:r w:rsidR="00401EB9">
        <w:t xml:space="preserve">meaning </w:t>
      </w:r>
      <w:r w:rsidR="00C505FC">
        <w:t xml:space="preserve">long lasting </w:t>
      </w:r>
      <w:r w:rsidR="005468F6">
        <w:t xml:space="preserve">and </w:t>
      </w:r>
      <w:r w:rsidR="00097B03">
        <w:t xml:space="preserve">because there is a </w:t>
      </w:r>
      <w:r w:rsidR="00C505FC">
        <w:t xml:space="preserve">need to </w:t>
      </w:r>
      <w:r w:rsidR="00097B03">
        <w:t xml:space="preserve">ensure </w:t>
      </w:r>
      <w:r w:rsidR="00C505FC">
        <w:t>short term conditions</w:t>
      </w:r>
      <w:r w:rsidR="00A915E5">
        <w:t xml:space="preserve"> (</w:t>
      </w:r>
      <w:r w:rsidR="00CB73F0">
        <w:t xml:space="preserve">e.g. </w:t>
      </w:r>
      <w:r w:rsidR="00A915E5">
        <w:t xml:space="preserve">many </w:t>
      </w:r>
      <w:r w:rsidR="00CB73F0">
        <w:t xml:space="preserve">mental health problems are short-term) </w:t>
      </w:r>
      <w:r w:rsidR="003F7E85">
        <w:t>,</w:t>
      </w:r>
      <w:r w:rsidR="00C505FC">
        <w:t xml:space="preserve"> </w:t>
      </w:r>
      <w:r w:rsidR="00472762">
        <w:t>that may, nevertheless</w:t>
      </w:r>
      <w:r w:rsidR="003F7E85">
        <w:t xml:space="preserve">, be associated with </w:t>
      </w:r>
      <w:r w:rsidR="00C505FC">
        <w:t>substantial discrimination</w:t>
      </w:r>
      <w:r w:rsidR="003F7E85">
        <w:t>,</w:t>
      </w:r>
      <w:r w:rsidR="00097B03">
        <w:t xml:space="preserve"> are not </w:t>
      </w:r>
      <w:r w:rsidR="000D21F9">
        <w:t>inadvertently excluded from protection</w:t>
      </w:r>
      <w:r w:rsidR="00C505FC">
        <w:t>.</w:t>
      </w:r>
      <w:r w:rsidR="00677669">
        <w:t xml:space="preserve"> </w:t>
      </w:r>
      <w:r w:rsidR="00B9040D">
        <w:t>The GDA’s stance i</w:t>
      </w:r>
      <w:r w:rsidR="003F7E85">
        <w:t>s</w:t>
      </w:r>
      <w:r w:rsidR="00B9040D">
        <w:t xml:space="preserve"> </w:t>
      </w:r>
      <w:r w:rsidR="0054611B">
        <w:t>in line</w:t>
      </w:r>
      <w:r w:rsidR="00B9040D">
        <w:t xml:space="preserve"> with r</w:t>
      </w:r>
      <w:r w:rsidR="005E517E">
        <w:t>ecent general comments</w:t>
      </w:r>
      <w:r w:rsidR="008A25BF">
        <w:rPr>
          <w:rStyle w:val="EndnoteReference"/>
        </w:rPr>
        <w:endnoteReference w:id="7"/>
      </w:r>
      <w:r w:rsidR="005E517E">
        <w:t xml:space="preserve"> from the UN Committee for th</w:t>
      </w:r>
      <w:r w:rsidR="00B9040D">
        <w:t>e CRPD</w:t>
      </w:r>
      <w:r w:rsidR="00FD005D">
        <w:t xml:space="preserve">. In particular, the </w:t>
      </w:r>
      <w:r w:rsidR="00F70BDA">
        <w:t>C</w:t>
      </w:r>
      <w:r w:rsidR="00FD005D">
        <w:t>ommittee</w:t>
      </w:r>
      <w:r w:rsidR="00F70BDA">
        <w:t xml:space="preserve"> for the CRPD </w:t>
      </w:r>
      <w:r w:rsidR="00FD005D">
        <w:t xml:space="preserve">advises that legislation should </w:t>
      </w:r>
      <w:r w:rsidR="00E30D21">
        <w:t xml:space="preserve">concentrate on </w:t>
      </w:r>
      <w:r w:rsidR="00FD005D">
        <w:t>eliminat</w:t>
      </w:r>
      <w:r w:rsidR="00E30D21">
        <w:t>ing</w:t>
      </w:r>
      <w:r w:rsidR="00FD005D">
        <w:t xml:space="preserve"> all forms of </w:t>
      </w:r>
      <w:r w:rsidR="00E30D21">
        <w:lastRenderedPageBreak/>
        <w:t xml:space="preserve">disability related discrimination </w:t>
      </w:r>
      <w:r w:rsidR="0064320C">
        <w:t xml:space="preserve">and individual acts of </w:t>
      </w:r>
      <w:r w:rsidR="002A6365">
        <w:t xml:space="preserve">disability related </w:t>
      </w:r>
      <w:r w:rsidR="0064320C">
        <w:t xml:space="preserve">discrimination, </w:t>
      </w:r>
      <w:r w:rsidR="00E30D21">
        <w:t>rather than protecting a certain group</w:t>
      </w:r>
      <w:r w:rsidR="00F26A34">
        <w:t>.</w:t>
      </w:r>
    </w:p>
    <w:p w14:paraId="6E3C80C6" w14:textId="77777777" w:rsidR="00F26A34" w:rsidRDefault="00F26A34" w:rsidP="00A159D4">
      <w:pPr>
        <w:ind w:left="720"/>
      </w:pPr>
      <w:r>
        <w:t xml:space="preserve">Whilst </w:t>
      </w:r>
      <w:r w:rsidR="00135CB4">
        <w:t>legislators in</w:t>
      </w:r>
      <w:r w:rsidR="00577645">
        <w:t xml:space="preserve"> some</w:t>
      </w:r>
      <w:r>
        <w:t xml:space="preserve"> jurisdictions do not believe it is </w:t>
      </w:r>
      <w:r w:rsidR="00577645">
        <w:t xml:space="preserve">either </w:t>
      </w:r>
      <w:r>
        <w:t xml:space="preserve">right </w:t>
      </w:r>
      <w:r w:rsidR="00577645">
        <w:t xml:space="preserve">or necessary </w:t>
      </w:r>
      <w:r>
        <w:t>to define disability</w:t>
      </w:r>
      <w:r w:rsidR="00D5187B">
        <w:t xml:space="preserve"> within their </w:t>
      </w:r>
      <w:r w:rsidR="001908A5">
        <w:t>legislation</w:t>
      </w:r>
      <w:r w:rsidR="00F45DB3">
        <w:rPr>
          <w:rStyle w:val="EndnoteReference"/>
        </w:rPr>
        <w:endnoteReference w:id="8"/>
      </w:r>
      <w:r w:rsidR="00D5187B">
        <w:t xml:space="preserve"> (Canada</w:t>
      </w:r>
      <w:r w:rsidR="004E72C3">
        <w:t xml:space="preserve"> and</w:t>
      </w:r>
      <w:r w:rsidR="00D5187B">
        <w:t xml:space="preserve"> Holland, for example</w:t>
      </w:r>
      <w:r w:rsidR="001908A5">
        <w:t xml:space="preserve">) </w:t>
      </w:r>
      <w:r>
        <w:t xml:space="preserve">the GDA </w:t>
      </w:r>
      <w:r w:rsidR="002115AC">
        <w:t xml:space="preserve">recognises local concern </w:t>
      </w:r>
      <w:r w:rsidR="006A6E83">
        <w:t xml:space="preserve">about insufficient guidance </w:t>
      </w:r>
      <w:r w:rsidR="00862237">
        <w:t xml:space="preserve">for employers and suppliers of goods and services </w:t>
      </w:r>
      <w:r w:rsidR="006A6E83">
        <w:t xml:space="preserve">and </w:t>
      </w:r>
      <w:r w:rsidR="00862237">
        <w:t xml:space="preserve">a </w:t>
      </w:r>
      <w:r w:rsidR="006A6E83">
        <w:t>concern that</w:t>
      </w:r>
      <w:r w:rsidR="00506112">
        <w:t xml:space="preserve">, if left undefined, </w:t>
      </w:r>
      <w:r w:rsidR="00C541B4">
        <w:t>Guernsey’s courts</w:t>
      </w:r>
      <w:r w:rsidR="00E6354B">
        <w:t xml:space="preserve"> may </w:t>
      </w:r>
      <w:r w:rsidR="00C541B4">
        <w:t>feel</w:t>
      </w:r>
      <w:r w:rsidR="00E6354B">
        <w:t xml:space="preserve"> compelled to</w:t>
      </w:r>
      <w:r w:rsidR="0013400A">
        <w:t xml:space="preserve"> </w:t>
      </w:r>
      <w:r w:rsidR="00575F9E">
        <w:t>impose</w:t>
      </w:r>
      <w:r w:rsidR="00E6354B">
        <w:t xml:space="preserve"> a definition</w:t>
      </w:r>
      <w:r w:rsidR="00FD0784">
        <w:t xml:space="preserve"> - </w:t>
      </w:r>
      <w:r w:rsidR="00E6354B">
        <w:t xml:space="preserve"> </w:t>
      </w:r>
      <w:r w:rsidR="00575F9E">
        <w:t xml:space="preserve">a process </w:t>
      </w:r>
      <w:r w:rsidR="00E6354B">
        <w:t>which</w:t>
      </w:r>
      <w:r w:rsidR="00B66000">
        <w:t>,</w:t>
      </w:r>
      <w:r w:rsidR="00E6354B">
        <w:t xml:space="preserve"> </w:t>
      </w:r>
      <w:r w:rsidR="00B66000">
        <w:t xml:space="preserve">experience elsewhere shows, </w:t>
      </w:r>
      <w:r w:rsidR="0013400A">
        <w:t xml:space="preserve">may not </w:t>
      </w:r>
      <w:r w:rsidR="00575F9E">
        <w:t>result in the most helpful definition</w:t>
      </w:r>
      <w:r w:rsidR="00DE017B">
        <w:t>.</w:t>
      </w:r>
      <w:r w:rsidR="0013400A">
        <w:t xml:space="preserve"> On this basis, the GDA Executive</w:t>
      </w:r>
      <w:r w:rsidR="00E6354B">
        <w:t xml:space="preserve"> </w:t>
      </w:r>
      <w:r>
        <w:t xml:space="preserve">would not object </w:t>
      </w:r>
      <w:r w:rsidR="00D0018B">
        <w:t>to</w:t>
      </w:r>
      <w:r w:rsidR="000C00BB">
        <w:t xml:space="preserve"> Guernsey’s</w:t>
      </w:r>
      <w:r w:rsidR="00D0018B">
        <w:t xml:space="preserve"> legislation offering a none exhaustive list of conditions and impairments </w:t>
      </w:r>
      <w:r w:rsidR="00846AD1">
        <w:t>which, together with physical or attitudinal barriers</w:t>
      </w:r>
      <w:r w:rsidR="00BD25BA">
        <w:t xml:space="preserve">, </w:t>
      </w:r>
      <w:r w:rsidR="00DA6B29">
        <w:t>are likely to</w:t>
      </w:r>
      <w:r w:rsidR="00846AD1">
        <w:t xml:space="preserve"> result in a condition of disability.</w:t>
      </w:r>
      <w:r w:rsidR="00775317">
        <w:t xml:space="preserve"> </w:t>
      </w:r>
    </w:p>
    <w:p w14:paraId="22252FF5" w14:textId="77777777" w:rsidR="00A31DC3" w:rsidRDefault="000B541C" w:rsidP="00A159D4">
      <w:pPr>
        <w:ind w:left="720"/>
      </w:pPr>
      <w:r>
        <w:t>Whichever approach is adopted, there is a need t</w:t>
      </w:r>
      <w:r w:rsidR="00E536BD">
        <w:t xml:space="preserve">o ensure </w:t>
      </w:r>
      <w:r w:rsidR="006D7739">
        <w:t xml:space="preserve">that </w:t>
      </w:r>
      <w:r w:rsidR="0045172A">
        <w:t xml:space="preserve">definitions </w:t>
      </w:r>
      <w:r w:rsidR="00E8782E">
        <w:t>d</w:t>
      </w:r>
      <w:r w:rsidR="0045172A">
        <w:t xml:space="preserve">o not result in a circular </w:t>
      </w:r>
      <w:r w:rsidR="006D7739">
        <w:t>argument</w:t>
      </w:r>
      <w:r w:rsidR="0045172A">
        <w:t xml:space="preserve">. </w:t>
      </w:r>
      <w:r w:rsidR="00CC138A">
        <w:t xml:space="preserve">The </w:t>
      </w:r>
      <w:r w:rsidR="002B1864">
        <w:t>concept</w:t>
      </w:r>
      <w:r w:rsidR="00CC138A">
        <w:t xml:space="preserve"> of disability </w:t>
      </w:r>
      <w:r w:rsidR="0045172A">
        <w:t>can be seen to differ from</w:t>
      </w:r>
      <w:r w:rsidR="005F5EF6">
        <w:t xml:space="preserve">, for example, the grounds of </w:t>
      </w:r>
      <w:r w:rsidR="0045172A">
        <w:t>ag</w:t>
      </w:r>
      <w:r w:rsidR="003C536D">
        <w:t>e</w:t>
      </w:r>
      <w:r w:rsidR="0045172A">
        <w:t xml:space="preserve"> or </w:t>
      </w:r>
      <w:r w:rsidR="0010782E">
        <w:t>belief</w:t>
      </w:r>
      <w:r w:rsidR="003C536D">
        <w:t>,</w:t>
      </w:r>
      <w:r w:rsidR="0045172A">
        <w:t xml:space="preserve"> </w:t>
      </w:r>
      <w:r w:rsidR="00F95AA1">
        <w:t xml:space="preserve">because both age and </w:t>
      </w:r>
      <w:r w:rsidR="0010782E">
        <w:t>belief</w:t>
      </w:r>
      <w:r w:rsidR="00F95AA1">
        <w:t xml:space="preserve"> are readily identifi</w:t>
      </w:r>
      <w:r w:rsidR="0035521D">
        <w:t>able</w:t>
      </w:r>
      <w:r w:rsidR="00F95AA1">
        <w:t xml:space="preserve"> as a personal characteristic</w:t>
      </w:r>
      <w:r w:rsidR="00DE017B">
        <w:t>;</w:t>
      </w:r>
      <w:r w:rsidR="00F95AA1">
        <w:t xml:space="preserve"> whereas</w:t>
      </w:r>
      <w:r w:rsidR="00931374">
        <w:t>,</w:t>
      </w:r>
      <w:r w:rsidR="00F95AA1">
        <w:t xml:space="preserve"> </w:t>
      </w:r>
      <w:r w:rsidR="00221B57">
        <w:t xml:space="preserve">the CRPD/human rights </w:t>
      </w:r>
      <w:r w:rsidR="00D954FB">
        <w:t>understanding</w:t>
      </w:r>
      <w:r w:rsidR="00221B57">
        <w:t xml:space="preserve"> </w:t>
      </w:r>
      <w:r w:rsidR="00D954FB">
        <w:t xml:space="preserve">explains </w:t>
      </w:r>
      <w:r w:rsidR="007C679E">
        <w:t xml:space="preserve">that disability results from the interaction </w:t>
      </w:r>
      <w:r w:rsidR="00554C7E">
        <w:t xml:space="preserve">of personal </w:t>
      </w:r>
      <w:r w:rsidR="00C657CB">
        <w:t>impairment</w:t>
      </w:r>
      <w:r w:rsidR="00554C7E">
        <w:t>s</w:t>
      </w:r>
      <w:r w:rsidR="00C657CB">
        <w:t xml:space="preserve"> </w:t>
      </w:r>
      <w:r w:rsidR="00C657CB" w:rsidRPr="00BC741D">
        <w:rPr>
          <w:u w:val="single"/>
        </w:rPr>
        <w:t>and</w:t>
      </w:r>
      <w:r w:rsidR="00C657CB">
        <w:t xml:space="preserve"> external barriers</w:t>
      </w:r>
      <w:r w:rsidR="00CC138A">
        <w:t xml:space="preserve">. </w:t>
      </w:r>
    </w:p>
    <w:p w14:paraId="07AD7F95" w14:textId="77777777" w:rsidR="00775317" w:rsidRDefault="00775317" w:rsidP="00A159D4">
      <w:pPr>
        <w:ind w:left="720"/>
      </w:pPr>
      <w:r>
        <w:t>T</w:t>
      </w:r>
      <w:bookmarkStart w:id="5" w:name="Past_prsent_future_impairments"/>
      <w:bookmarkEnd w:id="5"/>
      <w:r>
        <w:t>he GDA has also requested that clear guidance is given that an impairment need not have lasted for a particular length of time</w:t>
      </w:r>
      <w:r w:rsidR="00B92363">
        <w:t>,</w:t>
      </w:r>
      <w:r>
        <w:t xml:space="preserve"> nor is it necessary for the impairment to </w:t>
      </w:r>
      <w:r w:rsidR="00B752C4">
        <w:t xml:space="preserve">be of a particular severity, in order for someone to be able to claim protection against discrimination on the basis of that </w:t>
      </w:r>
      <w:r w:rsidR="00FF1FFE">
        <w:t>impairment.</w:t>
      </w:r>
      <w:r w:rsidR="001908A5">
        <w:t xml:space="preserve"> The GDA believes this guidance is needed because </w:t>
      </w:r>
      <w:r w:rsidR="00711635">
        <w:t>Article One (Purpose) of the CRP</w:t>
      </w:r>
      <w:r w:rsidR="00A8372B">
        <w:t>D</w:t>
      </w:r>
    </w:p>
    <w:p w14:paraId="260425BC" w14:textId="77777777" w:rsidR="00F54B0B" w:rsidRDefault="00747A85" w:rsidP="00F54B0B">
      <w:pPr>
        <w:ind w:left="1440"/>
        <w:rPr>
          <w:i/>
        </w:rPr>
      </w:pPr>
      <w:r>
        <w:rPr>
          <w:i/>
        </w:rPr>
        <w:t>(</w:t>
      </w:r>
      <w:r w:rsidR="00F54B0B" w:rsidRPr="00F54B0B">
        <w:rPr>
          <w:i/>
        </w:rPr>
        <w:t>“Persons with disabilities include those who have long-term physical, mental, intellectual or sensory impairments which in interaction with various barriers may hinder their full and effective participation in society on an equal basis with others.”</w:t>
      </w:r>
      <w:r>
        <w:rPr>
          <w:i/>
        </w:rPr>
        <w:t>)</w:t>
      </w:r>
    </w:p>
    <w:p w14:paraId="08287664" w14:textId="77777777" w:rsidR="00F54B0B" w:rsidRPr="00BC2C2B" w:rsidRDefault="00747A85" w:rsidP="00BC2C2B">
      <w:pPr>
        <w:ind w:left="720"/>
      </w:pPr>
      <w:r>
        <w:t>h</w:t>
      </w:r>
      <w:r w:rsidR="00BC2C2B">
        <w:t>as, in the past</w:t>
      </w:r>
      <w:r>
        <w:t>,</w:t>
      </w:r>
      <w:r w:rsidR="00BC2C2B">
        <w:t xml:space="preserve"> been </w:t>
      </w:r>
      <w:r w:rsidR="00D4315C">
        <w:t xml:space="preserve">unhelpfully </w:t>
      </w:r>
      <w:r w:rsidR="00BC2C2B">
        <w:t xml:space="preserve">misinterpreted as </w:t>
      </w:r>
      <w:r w:rsidR="00B1297F">
        <w:t xml:space="preserve">meaning that the Convention only applies to persons with long term </w:t>
      </w:r>
      <w:r w:rsidR="00524910">
        <w:t>impairments</w:t>
      </w:r>
      <w:r w:rsidR="00647B0D">
        <w:rPr>
          <w:rStyle w:val="EndnoteReference"/>
        </w:rPr>
        <w:endnoteReference w:id="9"/>
      </w:r>
      <w:r w:rsidR="00D90ABE">
        <w:t>, which it does not</w:t>
      </w:r>
      <w:r w:rsidR="00524910">
        <w:t>.</w:t>
      </w:r>
    </w:p>
    <w:p w14:paraId="13528CAF" w14:textId="77777777" w:rsidR="00C63C1C" w:rsidRDefault="00BD25BA" w:rsidP="00A159D4">
      <w:pPr>
        <w:ind w:left="720"/>
      </w:pPr>
      <w:r>
        <w:t xml:space="preserve">The GDA also believes it is important that </w:t>
      </w:r>
      <w:r w:rsidR="00210C8F">
        <w:t xml:space="preserve">people are protected from discrimination which may arise </w:t>
      </w:r>
      <w:r w:rsidR="00F30A61">
        <w:t>in connection with</w:t>
      </w:r>
      <w:r w:rsidR="00210C8F">
        <w:t xml:space="preserve"> </w:t>
      </w:r>
      <w:r w:rsidR="003D0009">
        <w:t>an impairment which existed in the past, currently exists</w:t>
      </w:r>
      <w:r w:rsidR="00C53E58">
        <w:t>,</w:t>
      </w:r>
      <w:r w:rsidR="00684238">
        <w:t xml:space="preserve"> </w:t>
      </w:r>
      <w:r w:rsidR="00961173">
        <w:t xml:space="preserve">is impugned or believed to exist, </w:t>
      </w:r>
      <w:r w:rsidR="008F6C26">
        <w:t xml:space="preserve">or which may exist in the future. </w:t>
      </w:r>
      <w:r w:rsidR="00C63C1C">
        <w:t xml:space="preserve">For example, if someone has </w:t>
      </w:r>
      <w:r w:rsidR="00597A06">
        <w:t xml:space="preserve">had cancer in the past, the GDA believes employers should not be able to discriminate on the basis that </w:t>
      </w:r>
      <w:r w:rsidR="00887214">
        <w:t xml:space="preserve">the person might be susceptible to contracting cancer again in the future. </w:t>
      </w:r>
      <w:r w:rsidR="00E03FEA">
        <w:t xml:space="preserve">Likewise, if someone </w:t>
      </w:r>
      <w:r w:rsidR="00B15DDB">
        <w:t xml:space="preserve">is </w:t>
      </w:r>
      <w:r w:rsidR="00E03FEA">
        <w:t xml:space="preserve">HIV positive </w:t>
      </w:r>
      <w:r w:rsidR="007926AC">
        <w:t xml:space="preserve">then in would be wrong for an employer to discriminate on the basis that they may go on to develop </w:t>
      </w:r>
      <w:r w:rsidR="00AA171C">
        <w:t>AIDS.</w:t>
      </w:r>
      <w:r w:rsidR="001B60D8">
        <w:t xml:space="preserve"> </w:t>
      </w:r>
    </w:p>
    <w:p w14:paraId="60EBCB72" w14:textId="77777777" w:rsidR="00961173" w:rsidRDefault="008F6C26" w:rsidP="00A159D4">
      <w:pPr>
        <w:ind w:left="720"/>
      </w:pPr>
      <w:r>
        <w:t xml:space="preserve">It is also important that </w:t>
      </w:r>
      <w:r w:rsidR="00F16F60">
        <w:t>Guernsey</w:t>
      </w:r>
      <w:r>
        <w:t xml:space="preserve"> </w:t>
      </w:r>
      <w:r w:rsidR="00C63C1C">
        <w:t>legislation</w:t>
      </w:r>
      <w:r>
        <w:t xml:space="preserve"> protects people from discrimination which has resulted by reason of an impugned </w:t>
      </w:r>
      <w:r w:rsidR="00C63C1C">
        <w:t>impairment</w:t>
      </w:r>
      <w:r w:rsidR="009D22FA">
        <w:t>,</w:t>
      </w:r>
      <w:r w:rsidR="00DC2392">
        <w:t xml:space="preserve"> </w:t>
      </w:r>
      <w:r w:rsidR="00E55967">
        <w:t>e.g.</w:t>
      </w:r>
      <w:r w:rsidR="00DC2392">
        <w:t xml:space="preserve"> </w:t>
      </w:r>
      <w:r w:rsidR="00BB34BE">
        <w:t xml:space="preserve">someone </w:t>
      </w:r>
      <w:r w:rsidR="00477424">
        <w:t xml:space="preserve">being </w:t>
      </w:r>
      <w:r w:rsidR="00D4315C">
        <w:t>disadvantaged because</w:t>
      </w:r>
      <w:r w:rsidR="00477424">
        <w:t xml:space="preserve"> they are </w:t>
      </w:r>
      <w:r w:rsidR="00D4315C">
        <w:t xml:space="preserve">believed or </w:t>
      </w:r>
      <w:r w:rsidR="00F904B6">
        <w:t>rumoured</w:t>
      </w:r>
      <w:r w:rsidR="002C4F36">
        <w:t xml:space="preserve"> to </w:t>
      </w:r>
      <w:r w:rsidR="002D1229">
        <w:t>have a</w:t>
      </w:r>
      <w:r w:rsidR="009D22FA">
        <w:t>n</w:t>
      </w:r>
      <w:r w:rsidR="0057240B">
        <w:t xml:space="preserve"> </w:t>
      </w:r>
      <w:r w:rsidR="002D1229">
        <w:t xml:space="preserve">impairment </w:t>
      </w:r>
      <w:r w:rsidR="0057240B">
        <w:t xml:space="preserve">or condition </w:t>
      </w:r>
      <w:r w:rsidR="002D1229">
        <w:t>when in fact they do not</w:t>
      </w:r>
      <w:r w:rsidR="002C4F36">
        <w:t>.</w:t>
      </w:r>
      <w:r w:rsidR="00D21CEC">
        <w:t xml:space="preserve"> </w:t>
      </w:r>
      <w:r w:rsidR="00961173">
        <w:t xml:space="preserve">Again, the Committee for the CRPD expresses the </w:t>
      </w:r>
      <w:r w:rsidR="00961173">
        <w:lastRenderedPageBreak/>
        <w:t xml:space="preserve">need for legislation to provide this protection </w:t>
      </w:r>
      <w:r w:rsidR="00D21CEC">
        <w:t xml:space="preserve">in all these scenarios </w:t>
      </w:r>
      <w:r w:rsidR="0026552F">
        <w:t>(</w:t>
      </w:r>
      <w:r w:rsidR="00961173">
        <w:t>General Comment of April 2018</w:t>
      </w:r>
      <w:r w:rsidR="00961173">
        <w:rPr>
          <w:rStyle w:val="EndnoteReference"/>
        </w:rPr>
        <w:endnoteReference w:id="10"/>
      </w:r>
      <w:r w:rsidR="0026552F">
        <w:t>)</w:t>
      </w:r>
    </w:p>
    <w:p w14:paraId="50E8C541" w14:textId="77777777" w:rsidR="00B74569" w:rsidRPr="00A30515" w:rsidRDefault="004B1A48" w:rsidP="001F26A1">
      <w:pPr>
        <w:pStyle w:val="Subtitle"/>
        <w:rPr>
          <w:b/>
          <w:i/>
          <w:sz w:val="28"/>
        </w:rPr>
      </w:pPr>
      <w:bookmarkStart w:id="6" w:name="Duty_to_accommodate"/>
      <w:r w:rsidRPr="00A30515">
        <w:rPr>
          <w:b/>
          <w:i/>
          <w:sz w:val="28"/>
        </w:rPr>
        <w:t>Duty to accommodate need</w:t>
      </w:r>
      <w:r w:rsidR="00B74569" w:rsidRPr="00A30515">
        <w:rPr>
          <w:b/>
          <w:i/>
          <w:sz w:val="28"/>
        </w:rPr>
        <w:t xml:space="preserve"> (appropriate </w:t>
      </w:r>
      <w:r w:rsidR="001A59BF" w:rsidRPr="00A30515">
        <w:rPr>
          <w:b/>
          <w:i/>
          <w:sz w:val="28"/>
        </w:rPr>
        <w:t xml:space="preserve">accommodation </w:t>
      </w:r>
      <w:r w:rsidR="00B74569" w:rsidRPr="00A30515">
        <w:rPr>
          <w:b/>
          <w:i/>
          <w:sz w:val="28"/>
        </w:rPr>
        <w:t>or reasonable adjustment</w:t>
      </w:r>
      <w:r w:rsidR="006C1F57" w:rsidRPr="00A30515">
        <w:rPr>
          <w:b/>
          <w:i/>
          <w:sz w:val="28"/>
        </w:rPr>
        <w:t>)</w:t>
      </w:r>
      <w:r w:rsidR="00E36BD6" w:rsidRPr="00A30515">
        <w:rPr>
          <w:b/>
          <w:i/>
          <w:sz w:val="28"/>
        </w:rPr>
        <w:t xml:space="preserve"> and provisions dealing with accessibility</w:t>
      </w:r>
    </w:p>
    <w:bookmarkEnd w:id="6"/>
    <w:p w14:paraId="0CE43D96" w14:textId="77777777" w:rsidR="00CD18A4" w:rsidRDefault="00F5619D" w:rsidP="001F26A1">
      <w:r>
        <w:t>A duty placed on employers and service providers to</w:t>
      </w:r>
      <w:r w:rsidR="00F63D19">
        <w:t xml:space="preserve"> </w:t>
      </w:r>
      <w:r w:rsidR="005F13D0">
        <w:t>appropriately accommodate (</w:t>
      </w:r>
      <w:r w:rsidR="00F63D19">
        <w:t>make adjustments</w:t>
      </w:r>
      <w:r w:rsidR="005F13D0">
        <w:t>)</w:t>
      </w:r>
      <w:r w:rsidR="00F63D19">
        <w:t xml:space="preserve"> </w:t>
      </w:r>
      <w:r w:rsidR="00C8593D">
        <w:t xml:space="preserve">in order </w:t>
      </w:r>
      <w:r w:rsidR="00F63D19">
        <w:t xml:space="preserve">to allow equal access to employment or to goods and services </w:t>
      </w:r>
      <w:r w:rsidR="00AB47AB">
        <w:t xml:space="preserve">is a mainstay of most discrimination legislation. </w:t>
      </w:r>
      <w:r w:rsidR="0046798E">
        <w:t xml:space="preserve">The duty to </w:t>
      </w:r>
      <w:r w:rsidR="001A59BF">
        <w:t>appropriately</w:t>
      </w:r>
      <w:r w:rsidR="0046798E">
        <w:t xml:space="preserve"> accommodate </w:t>
      </w:r>
      <w:r w:rsidR="00855A65">
        <w:t xml:space="preserve">the known individual needs of employees or customers </w:t>
      </w:r>
      <w:r w:rsidR="00CA050F">
        <w:t>in order to achieve substantive equality</w:t>
      </w:r>
      <w:r w:rsidR="00444319">
        <w:t xml:space="preserve"> (</w:t>
      </w:r>
      <w:r w:rsidR="00137EF3">
        <w:t xml:space="preserve">remove barriers which affect people </w:t>
      </w:r>
      <w:r w:rsidR="00556FA3">
        <w:t>associated with</w:t>
      </w:r>
      <w:r w:rsidR="00956D8C">
        <w:t xml:space="preserve"> a protected ground</w:t>
      </w:r>
      <w:r w:rsidR="00750272">
        <w:t xml:space="preserve"> </w:t>
      </w:r>
      <w:r w:rsidR="004F0CC9">
        <w:t>more than people who</w:t>
      </w:r>
      <w:r w:rsidR="00556FA3">
        <w:t xml:space="preserve"> are not associated with that ground</w:t>
      </w:r>
      <w:r w:rsidR="00956D8C">
        <w:t>)</w:t>
      </w:r>
      <w:r w:rsidR="00CA050F">
        <w:t xml:space="preserve">, </w:t>
      </w:r>
      <w:r w:rsidR="00855A65">
        <w:t xml:space="preserve">is </w:t>
      </w:r>
      <w:r w:rsidR="00202C7B">
        <w:t xml:space="preserve">different from duties dealing with general accessibility. </w:t>
      </w:r>
    </w:p>
    <w:p w14:paraId="2B1B5758" w14:textId="77777777" w:rsidR="00CD18A4" w:rsidRPr="00A30515" w:rsidRDefault="00CD18A4" w:rsidP="006C1F57">
      <w:pPr>
        <w:ind w:left="720"/>
        <w:rPr>
          <w:rStyle w:val="SubtleEmphasis"/>
          <w:b/>
        </w:rPr>
      </w:pPr>
      <w:r w:rsidRPr="00A30515">
        <w:rPr>
          <w:rStyle w:val="SubtleEmphasis"/>
          <w:b/>
        </w:rPr>
        <w:t xml:space="preserve">Duty to appropriately accommodate </w:t>
      </w:r>
    </w:p>
    <w:p w14:paraId="52F2991E" w14:textId="77777777" w:rsidR="00EA47DA" w:rsidRDefault="00202C7B" w:rsidP="006C1F57">
      <w:pPr>
        <w:ind w:left="720"/>
      </w:pPr>
      <w:bookmarkStart w:id="7" w:name="Extend_duty"/>
      <w:bookmarkEnd w:id="7"/>
      <w:r>
        <w:t>T</w:t>
      </w:r>
      <w:r w:rsidR="00176645">
        <w:t>he</w:t>
      </w:r>
      <w:r w:rsidR="00AB47AB">
        <w:t xml:space="preserve"> duty</w:t>
      </w:r>
      <w:r w:rsidR="0055424E">
        <w:t xml:space="preserve"> </w:t>
      </w:r>
      <w:r w:rsidR="00176645">
        <w:t>to accommodate individual needs</w:t>
      </w:r>
      <w:r w:rsidR="00223874">
        <w:t xml:space="preserve"> is an </w:t>
      </w:r>
      <w:r w:rsidR="00223874" w:rsidRPr="007C3057">
        <w:rPr>
          <w:i/>
        </w:rPr>
        <w:t>Ex Nunc</w:t>
      </w:r>
      <w:r w:rsidR="00223874">
        <w:t xml:space="preserve"> </w:t>
      </w:r>
      <w:r w:rsidR="0055424E">
        <w:t>(</w:t>
      </w:r>
      <w:r w:rsidR="00847B2D">
        <w:t xml:space="preserve">not anticipatory) </w:t>
      </w:r>
      <w:r w:rsidR="00223874">
        <w:t xml:space="preserve">duty </w:t>
      </w:r>
      <w:r w:rsidR="007C3057">
        <w:t>and</w:t>
      </w:r>
      <w:r w:rsidR="00AB47AB">
        <w:t xml:space="preserve"> required by the CRPD</w:t>
      </w:r>
      <w:r w:rsidR="00C27AAB">
        <w:t>;</w:t>
      </w:r>
      <w:r w:rsidR="00AB47AB">
        <w:t xml:space="preserve"> but </w:t>
      </w:r>
      <w:r w:rsidR="00607403">
        <w:t xml:space="preserve">legislation </w:t>
      </w:r>
      <w:r w:rsidR="00AB47AB">
        <w:t xml:space="preserve">may also apply </w:t>
      </w:r>
      <w:r w:rsidR="00875731">
        <w:t xml:space="preserve">this duty to protect people </w:t>
      </w:r>
      <w:r w:rsidR="00192E55">
        <w:t>requiring adjustments on other grounds (</w:t>
      </w:r>
      <w:r w:rsidR="005D2B19">
        <w:t xml:space="preserve">e.g. </w:t>
      </w:r>
      <w:r w:rsidR="00192E55">
        <w:t xml:space="preserve">religion or </w:t>
      </w:r>
      <w:r w:rsidR="005D2B19">
        <w:t>family status)</w:t>
      </w:r>
      <w:r w:rsidR="009F1E29">
        <w:t>.</w:t>
      </w:r>
      <w:r w:rsidR="005B13CB">
        <w:t xml:space="preserve"> </w:t>
      </w:r>
      <w:r w:rsidR="00750272">
        <w:t>T</w:t>
      </w:r>
      <w:r w:rsidR="005B13CB">
        <w:t xml:space="preserve">he concept of </w:t>
      </w:r>
      <w:r w:rsidR="00750272">
        <w:t>appropriate accommo</w:t>
      </w:r>
      <w:r w:rsidR="006A29FC">
        <w:t>dation (</w:t>
      </w:r>
      <w:r w:rsidR="005B13CB">
        <w:t>reas</w:t>
      </w:r>
      <w:r w:rsidR="00B8630E">
        <w:t>onable adjustment</w:t>
      </w:r>
      <w:r w:rsidR="006A29FC">
        <w:t>)</w:t>
      </w:r>
      <w:r w:rsidR="003A22CE">
        <w:t xml:space="preserve"> </w:t>
      </w:r>
      <w:r w:rsidR="00836D30">
        <w:t>was being developed</w:t>
      </w:r>
      <w:r w:rsidR="003A22CE">
        <w:t xml:space="preserve"> </w:t>
      </w:r>
      <w:r w:rsidR="005F08E8">
        <w:t xml:space="preserve">as early as the </w:t>
      </w:r>
      <w:r w:rsidR="00F15D0C">
        <w:t>mid-1980s</w:t>
      </w:r>
      <w:r w:rsidR="005F08E8">
        <w:t xml:space="preserve"> and may first have been applied to religion</w:t>
      </w:r>
      <w:r w:rsidR="00F15D0C">
        <w:t xml:space="preserve">. </w:t>
      </w:r>
      <w:r w:rsidR="009F1E29">
        <w:t xml:space="preserve"> </w:t>
      </w:r>
      <w:r w:rsidR="00EA47DA">
        <w:t>The GDA argue</w:t>
      </w:r>
      <w:r w:rsidR="00875731">
        <w:t>s</w:t>
      </w:r>
      <w:r w:rsidR="00EA47DA">
        <w:t xml:space="preserve"> that Guernsey’s legislat</w:t>
      </w:r>
      <w:r w:rsidR="00297913">
        <w:t xml:space="preserve">ion should </w:t>
      </w:r>
      <w:r w:rsidR="008C32D0">
        <w:t xml:space="preserve">place a duty on </w:t>
      </w:r>
      <w:r w:rsidR="007B3839">
        <w:t xml:space="preserve">employers and service providers to </w:t>
      </w:r>
      <w:r w:rsidR="00DD5CE7">
        <w:t>appropriately</w:t>
      </w:r>
      <w:r w:rsidR="008C32D0">
        <w:t xml:space="preserve"> accommodate need arising from any protected ground. The GDA believes this is </w:t>
      </w:r>
      <w:r w:rsidR="0048057C">
        <w:t xml:space="preserve">the most equitable approach and will also mean that </w:t>
      </w:r>
      <w:r w:rsidR="000077F7">
        <w:t>disabled</w:t>
      </w:r>
      <w:r w:rsidR="0048057C">
        <w:t xml:space="preserve"> people will not be seen to, yet again, be treated diff</w:t>
      </w:r>
      <w:r w:rsidR="000077F7">
        <w:t>erently</w:t>
      </w:r>
      <w:r w:rsidR="00244DF7">
        <w:t xml:space="preserve"> </w:t>
      </w:r>
      <w:r w:rsidR="00BB42C5">
        <w:t>or, even</w:t>
      </w:r>
      <w:r w:rsidR="00DD5CE7">
        <w:t>,</w:t>
      </w:r>
      <w:r w:rsidR="00244DF7">
        <w:t xml:space="preserve"> more favourably than </w:t>
      </w:r>
      <w:r w:rsidR="00F61344">
        <w:t>people seeking protection on other grounds.</w:t>
      </w:r>
    </w:p>
    <w:p w14:paraId="3FE8FF0C" w14:textId="77777777" w:rsidR="00E36BD6" w:rsidRDefault="00DB69FD" w:rsidP="006C1F57">
      <w:pPr>
        <w:ind w:left="720"/>
      </w:pPr>
      <w:r>
        <w:t xml:space="preserve">The CRPD requires that legislation places this duty on employers </w:t>
      </w:r>
      <w:r w:rsidR="00376098">
        <w:t xml:space="preserve">and providers of goods and services </w:t>
      </w:r>
      <w:r>
        <w:t xml:space="preserve">in order that they </w:t>
      </w:r>
      <w:r w:rsidR="008B17EE">
        <w:t>approp</w:t>
      </w:r>
      <w:r w:rsidR="00751290">
        <w:t xml:space="preserve">riately </w:t>
      </w:r>
      <w:r w:rsidR="00933BD0">
        <w:t>accommodate the particular needs of individual employees</w:t>
      </w:r>
      <w:r w:rsidR="00D42F67">
        <w:t xml:space="preserve"> </w:t>
      </w:r>
      <w:r w:rsidR="00376098">
        <w:t xml:space="preserve">and service users </w:t>
      </w:r>
      <w:r w:rsidR="00B7599B">
        <w:t xml:space="preserve">without </w:t>
      </w:r>
      <w:r w:rsidR="00F61344">
        <w:t xml:space="preserve">“disproportionate </w:t>
      </w:r>
      <w:r w:rsidR="00B7599B">
        <w:t>burden</w:t>
      </w:r>
      <w:r w:rsidR="00F61344">
        <w:t>”</w:t>
      </w:r>
      <w:r w:rsidR="002A1DD6">
        <w:t xml:space="preserve"> to the employer or supplier</w:t>
      </w:r>
      <w:r w:rsidR="00933BD0">
        <w:t xml:space="preserve">. This </w:t>
      </w:r>
      <w:r w:rsidR="00785FC0">
        <w:t xml:space="preserve">means that an employer </w:t>
      </w:r>
      <w:r w:rsidR="00376098">
        <w:t xml:space="preserve">or supplier </w:t>
      </w:r>
      <w:r w:rsidR="00785FC0">
        <w:t xml:space="preserve">is not </w:t>
      </w:r>
      <w:r w:rsidR="00BB130B">
        <w:t>required</w:t>
      </w:r>
      <w:r w:rsidR="00785FC0">
        <w:t xml:space="preserve"> to anticipate the needs of possible future </w:t>
      </w:r>
      <w:r w:rsidR="00BB130B">
        <w:t xml:space="preserve">employees </w:t>
      </w:r>
      <w:r w:rsidR="00283DA4">
        <w:t xml:space="preserve">or individual customers </w:t>
      </w:r>
      <w:r w:rsidR="00BB130B">
        <w:t xml:space="preserve">but should </w:t>
      </w:r>
      <w:r w:rsidR="00745401">
        <w:t>take steps to</w:t>
      </w:r>
      <w:r w:rsidR="00BB130B">
        <w:t xml:space="preserve"> accommodate the needs of existing employees</w:t>
      </w:r>
      <w:r w:rsidR="003272FB">
        <w:t xml:space="preserve"> (and candidates</w:t>
      </w:r>
      <w:r w:rsidR="00D61992">
        <w:t xml:space="preserve"> for employment</w:t>
      </w:r>
      <w:r w:rsidR="003272FB">
        <w:t xml:space="preserve">) and customers </w:t>
      </w:r>
      <w:r w:rsidR="00745401">
        <w:t>as soon as they are aware of those needs</w:t>
      </w:r>
      <w:r w:rsidR="00D4746C">
        <w:t xml:space="preserve">. </w:t>
      </w:r>
      <w:r w:rsidR="00446198">
        <w:t xml:space="preserve">The Committee for </w:t>
      </w:r>
      <w:r w:rsidR="00531809">
        <w:t xml:space="preserve">CRPD </w:t>
      </w:r>
      <w:r w:rsidR="00446198">
        <w:t>General Comment</w:t>
      </w:r>
      <w:r w:rsidR="00635FC5">
        <w:rPr>
          <w:rStyle w:val="EndnoteReference"/>
        </w:rPr>
        <w:endnoteReference w:id="11"/>
      </w:r>
      <w:r w:rsidR="00635FC5">
        <w:t xml:space="preserve"> </w:t>
      </w:r>
      <w:r w:rsidR="00531809">
        <w:t xml:space="preserve">also </w:t>
      </w:r>
      <w:r w:rsidR="00ED60CC">
        <w:t>exp</w:t>
      </w:r>
      <w:r w:rsidR="00446198">
        <w:t>lains</w:t>
      </w:r>
      <w:r w:rsidR="00531809">
        <w:t xml:space="preserve"> </w:t>
      </w:r>
      <w:r w:rsidR="005A77A2">
        <w:t>that a</w:t>
      </w:r>
      <w:r w:rsidR="00ED60CC">
        <w:t>n important</w:t>
      </w:r>
      <w:r w:rsidR="005A77A2">
        <w:t xml:space="preserve"> part of this duty is that </w:t>
      </w:r>
      <w:r w:rsidR="000F69E1">
        <w:t xml:space="preserve">there </w:t>
      </w:r>
      <w:r w:rsidR="005A77A2">
        <w:t xml:space="preserve">should </w:t>
      </w:r>
      <w:r w:rsidR="000F69E1">
        <w:t xml:space="preserve">be </w:t>
      </w:r>
      <w:r w:rsidR="005A77A2">
        <w:t>discuss</w:t>
      </w:r>
      <w:r w:rsidR="000F69E1">
        <w:t>ion between the parties</w:t>
      </w:r>
      <w:r w:rsidR="00036809">
        <w:t xml:space="preserve"> (including an assessment of the appropriateness of any adjustment)</w:t>
      </w:r>
      <w:r w:rsidR="000F69E1">
        <w:t xml:space="preserve"> </w:t>
      </w:r>
      <w:r w:rsidR="0003650B">
        <w:t>a</w:t>
      </w:r>
      <w:r w:rsidR="00A07B00">
        <w:t>nd that th</w:t>
      </w:r>
      <w:r w:rsidR="0003650B">
        <w:t>is</w:t>
      </w:r>
      <w:r w:rsidR="00A07B00">
        <w:t xml:space="preserve"> requirement to discuss </w:t>
      </w:r>
      <w:r w:rsidR="00952726">
        <w:t xml:space="preserve">and consult with the person who would be benefiting </w:t>
      </w:r>
      <w:r w:rsidR="00813D4E">
        <w:t xml:space="preserve">should be clearly </w:t>
      </w:r>
      <w:r w:rsidR="00851548">
        <w:t>stated</w:t>
      </w:r>
      <w:r w:rsidR="00813D4E">
        <w:t xml:space="preserve"> within the legislation.</w:t>
      </w:r>
      <w:r w:rsidR="006E6D13">
        <w:t xml:space="preserve"> </w:t>
      </w:r>
      <w:r w:rsidR="006E6D13" w:rsidRPr="006E6D13">
        <w:t xml:space="preserve">An example </w:t>
      </w:r>
      <w:r w:rsidR="006E6D13">
        <w:t xml:space="preserve">relating to the supply of goods and services </w:t>
      </w:r>
      <w:r w:rsidR="006E6D13" w:rsidRPr="006E6D13">
        <w:t>might be that if a bank customer, because of a physical impairment, is unable to visit a branch to sign a document say, or so that their identity could be verified, then it may be appropriate</w:t>
      </w:r>
      <w:r w:rsidR="007100AF">
        <w:t>,</w:t>
      </w:r>
      <w:r w:rsidR="006E6D13" w:rsidRPr="006E6D13">
        <w:t xml:space="preserve"> </w:t>
      </w:r>
      <w:r w:rsidR="003E0EF3">
        <w:t xml:space="preserve">and not </w:t>
      </w:r>
      <w:r w:rsidR="007100AF">
        <w:t xml:space="preserve">disproportionately burdensome, </w:t>
      </w:r>
      <w:r w:rsidR="006E6D13" w:rsidRPr="006E6D13">
        <w:t>for a representative of the bank to visit the customer.</w:t>
      </w:r>
    </w:p>
    <w:p w14:paraId="688D3F75" w14:textId="77777777" w:rsidR="009F20C3" w:rsidRDefault="009F20C3" w:rsidP="006C1F57">
      <w:pPr>
        <w:ind w:left="720"/>
      </w:pPr>
      <w:bookmarkStart w:id="8" w:name="Matters_too_broad"/>
      <w:bookmarkEnd w:id="8"/>
      <w:r>
        <w:t xml:space="preserve">The GDA is concerned that </w:t>
      </w:r>
      <w:r w:rsidR="000D0BC9">
        <w:t>there is evidence from a number of jurisdictions</w:t>
      </w:r>
      <w:r w:rsidR="001D6B6C">
        <w:t xml:space="preserve">, most </w:t>
      </w:r>
      <w:r w:rsidR="008F054A">
        <w:t>notably perhaps</w:t>
      </w:r>
      <w:r w:rsidR="001D6B6C">
        <w:t xml:space="preserve"> from the UK</w:t>
      </w:r>
      <w:r w:rsidR="00A74E3E">
        <w:rPr>
          <w:rStyle w:val="EndnoteReference"/>
        </w:rPr>
        <w:endnoteReference w:id="12"/>
      </w:r>
      <w:r w:rsidR="00264D3D">
        <w:t xml:space="preserve">, that these duties are neither well understood </w:t>
      </w:r>
      <w:r w:rsidR="002F7C4B">
        <w:t>n</w:t>
      </w:r>
      <w:r w:rsidR="00264D3D">
        <w:t xml:space="preserve">or </w:t>
      </w:r>
      <w:r w:rsidR="00C03A23">
        <w:lastRenderedPageBreak/>
        <w:t>complied with. The GDA believes that</w:t>
      </w:r>
      <w:r w:rsidR="00BD7F8D">
        <w:t>,</w:t>
      </w:r>
      <w:r w:rsidR="00C03A23">
        <w:t xml:space="preserve"> </w:t>
      </w:r>
      <w:r w:rsidR="004837E2">
        <w:t xml:space="preserve">if the matters which may be taken into account when judging </w:t>
      </w:r>
      <w:r w:rsidR="00D431F9">
        <w:t xml:space="preserve">whether the burden </w:t>
      </w:r>
      <w:r w:rsidR="00DB61BC">
        <w:t xml:space="preserve">to accommodate need </w:t>
      </w:r>
      <w:r w:rsidR="00D431F9">
        <w:t>is undue or disproportionate are to</w:t>
      </w:r>
      <w:r w:rsidR="00552F42">
        <w:t>o</w:t>
      </w:r>
      <w:r w:rsidR="00D431F9">
        <w:t xml:space="preserve"> </w:t>
      </w:r>
      <w:r w:rsidR="007B0D97">
        <w:t xml:space="preserve">broad, employers and suppliers </w:t>
      </w:r>
      <w:r w:rsidR="004A03E4">
        <w:t>may</w:t>
      </w:r>
      <w:r w:rsidR="003D6C0D">
        <w:t xml:space="preserve"> be confused and more likely to </w:t>
      </w:r>
      <w:r w:rsidR="00E42E74">
        <w:t xml:space="preserve">fail to accommodate for the wrong reasons. The </w:t>
      </w:r>
      <w:r w:rsidR="00B26061">
        <w:t xml:space="preserve">GDA has recommended that the contextual test of disproportionate burden should be </w:t>
      </w:r>
      <w:r w:rsidR="00A54B76">
        <w:t xml:space="preserve">limited to </w:t>
      </w:r>
      <w:r w:rsidR="004624F5">
        <w:t xml:space="preserve">two matters: </w:t>
      </w:r>
      <w:r w:rsidR="00172AD6">
        <w:t>cost (including the availability of outside funding</w:t>
      </w:r>
      <w:r w:rsidR="004624F5">
        <w:t>)</w:t>
      </w:r>
      <w:r w:rsidR="00172AD6">
        <w:t xml:space="preserve"> and health and safety</w:t>
      </w:r>
      <w:r w:rsidR="007C614A">
        <w:t xml:space="preserve"> (as in Canadian legislation)</w:t>
      </w:r>
      <w:r w:rsidR="00172AD6">
        <w:t>.</w:t>
      </w:r>
      <w:r w:rsidR="003C0FBF">
        <w:t xml:space="preserve"> The GDA argues that tests of appropriateness should be confined to </w:t>
      </w:r>
      <w:r w:rsidR="00307BB7">
        <w:t xml:space="preserve">assessment of </w:t>
      </w:r>
      <w:r w:rsidR="00781383">
        <w:t>whether or not the proposed measure will achieve the required result (barrier removal).</w:t>
      </w:r>
    </w:p>
    <w:p w14:paraId="0DC84C04" w14:textId="77777777" w:rsidR="00A30515" w:rsidRDefault="00A30515" w:rsidP="006C1F57">
      <w:pPr>
        <w:ind w:left="720"/>
      </w:pPr>
      <w:bookmarkStart w:id="9" w:name="Seaparate_offence"/>
      <w:bookmarkEnd w:id="9"/>
      <w:r>
        <w:t>The offence of failure to accommodate need is treated</w:t>
      </w:r>
      <w:r w:rsidR="00BE405B">
        <w:t xml:space="preserve"> by some jurisdictions as a form of direct discrimination and by others as </w:t>
      </w:r>
      <w:r w:rsidR="00015A75">
        <w:t xml:space="preserve">a separate offence. The GDA believe there are good reasons </w:t>
      </w:r>
      <w:r w:rsidR="002F598E">
        <w:t xml:space="preserve">to separate the offences, not least of which is that arguably, </w:t>
      </w:r>
      <w:r w:rsidR="00382ECC">
        <w:t xml:space="preserve">a </w:t>
      </w:r>
      <w:r w:rsidR="002F598E">
        <w:t>fa</w:t>
      </w:r>
      <w:r w:rsidR="00382ECC">
        <w:t>ilure to accommodate may be objectively justified (</w:t>
      </w:r>
      <w:r w:rsidR="00DE0CAC">
        <w:t>proportiona</w:t>
      </w:r>
      <w:r w:rsidR="006A568A">
        <w:t>lity and appr</w:t>
      </w:r>
      <w:r w:rsidR="00CE09CA">
        <w:t>opriateness</w:t>
      </w:r>
      <w:r w:rsidR="00DE0CAC">
        <w:t>) whereas direct discrimination</w:t>
      </w:r>
      <w:r w:rsidR="00D74119">
        <w:t xml:space="preserve"> (e.g. I don’t employ dis</w:t>
      </w:r>
      <w:r w:rsidR="00640778">
        <w:t>a</w:t>
      </w:r>
      <w:r w:rsidR="00D74119">
        <w:t>bled people)</w:t>
      </w:r>
      <w:r w:rsidR="00DE0CAC">
        <w:t xml:space="preserve"> </w:t>
      </w:r>
      <w:r w:rsidR="00D74119">
        <w:t>is arguably never justifiable.</w:t>
      </w:r>
    </w:p>
    <w:p w14:paraId="5818E721" w14:textId="77777777" w:rsidR="002067D4" w:rsidRDefault="002067D4" w:rsidP="006C1F57">
      <w:pPr>
        <w:ind w:left="720"/>
      </w:pPr>
      <w:r>
        <w:t xml:space="preserve">The </w:t>
      </w:r>
      <w:r w:rsidR="00626BD8">
        <w:t>assessment</w:t>
      </w:r>
      <w:r w:rsidR="00532500">
        <w:t xml:space="preserve"> </w:t>
      </w:r>
      <w:r w:rsidR="0055201A">
        <w:t xml:space="preserve">of </w:t>
      </w:r>
      <w:r w:rsidR="000262C7">
        <w:t xml:space="preserve">failure to accommodate, if treated as </w:t>
      </w:r>
      <w:r w:rsidR="0055201A">
        <w:t>direct discrimination</w:t>
      </w:r>
      <w:r w:rsidR="00CE09CA">
        <w:t>,</w:t>
      </w:r>
      <w:r w:rsidR="0055201A">
        <w:t xml:space="preserve"> may become </w:t>
      </w:r>
      <w:r w:rsidR="0093642D">
        <w:t>problematical</w:t>
      </w:r>
      <w:r w:rsidR="00440CD4">
        <w:t xml:space="preserve"> and illo</w:t>
      </w:r>
      <w:r w:rsidR="00970A03">
        <w:t>gical</w:t>
      </w:r>
      <w:r w:rsidR="0055201A">
        <w:t xml:space="preserve"> in disability related cases </w:t>
      </w:r>
      <w:r w:rsidR="00970A03">
        <w:t xml:space="preserve">(see for example UK case of Malcolm v Lewisham Council) </w:t>
      </w:r>
      <w:r w:rsidR="0055201A">
        <w:t xml:space="preserve">because </w:t>
      </w:r>
      <w:r w:rsidR="004F5476">
        <w:t>the</w:t>
      </w:r>
      <w:r w:rsidR="001A26BF">
        <w:t xml:space="preserve"> test of “less favourable treatment” </w:t>
      </w:r>
      <w:r w:rsidR="003A43DD">
        <w:t>(</w:t>
      </w:r>
      <w:r w:rsidR="009B3F99">
        <w:t xml:space="preserve">also </w:t>
      </w:r>
      <w:r w:rsidR="003A43DD">
        <w:t xml:space="preserve">used in both Australian and Irish legislation) </w:t>
      </w:r>
      <w:r w:rsidR="00802A17">
        <w:t xml:space="preserve">invites </w:t>
      </w:r>
      <w:r w:rsidR="007B279D">
        <w:t>the identification of comparators.</w:t>
      </w:r>
      <w:r w:rsidR="00626BD8">
        <w:t xml:space="preserve"> </w:t>
      </w:r>
      <w:r w:rsidR="004800B7">
        <w:t>The GDA has given evidence to ESS</w:t>
      </w:r>
      <w:r w:rsidR="00BE0BFF">
        <w:t xml:space="preserve"> of these difficulties</w:t>
      </w:r>
      <w:r w:rsidR="00A102C5">
        <w:t xml:space="preserve"> and requested </w:t>
      </w:r>
      <w:r w:rsidR="009E1323">
        <w:t>that the offences of direct discrimination and failure to accommodate are dealt with separately</w:t>
      </w:r>
      <w:r w:rsidR="00484045">
        <w:t xml:space="preserve"> </w:t>
      </w:r>
      <w:r w:rsidR="008C6585">
        <w:t xml:space="preserve">in </w:t>
      </w:r>
      <w:r w:rsidR="00A57C59">
        <w:t>Guernsey</w:t>
      </w:r>
      <w:r w:rsidR="008C6585">
        <w:t>’s</w:t>
      </w:r>
      <w:r w:rsidR="00A57C59">
        <w:t xml:space="preserve"> legislation</w:t>
      </w:r>
      <w:r w:rsidR="008C6585">
        <w:t>.</w:t>
      </w:r>
    </w:p>
    <w:p w14:paraId="4E67C73C" w14:textId="77777777" w:rsidR="004B5000" w:rsidRDefault="004E1879" w:rsidP="006C1F57">
      <w:pPr>
        <w:ind w:left="720"/>
      </w:pPr>
      <w:bookmarkStart w:id="10" w:name="Discrimination_arising_from"/>
      <w:bookmarkEnd w:id="10"/>
      <w:r>
        <w:t xml:space="preserve">The </w:t>
      </w:r>
      <w:r w:rsidR="0095566E">
        <w:t xml:space="preserve">difficulties experienced </w:t>
      </w:r>
      <w:r w:rsidR="006412D5">
        <w:t xml:space="preserve">with the identification of comparators in the UK and </w:t>
      </w:r>
      <w:r w:rsidR="004F630C">
        <w:t xml:space="preserve">the fact that the UK’s restricted definition of disability </w:t>
      </w:r>
      <w:r w:rsidR="00086883">
        <w:t xml:space="preserve">and </w:t>
      </w:r>
      <w:r w:rsidR="00845A7B">
        <w:t xml:space="preserve">causal </w:t>
      </w:r>
      <w:r w:rsidR="00D00AD1">
        <w:t>conditional</w:t>
      </w:r>
      <w:r w:rsidR="00845A7B">
        <w:t xml:space="preserve"> (“because of”) </w:t>
      </w:r>
      <w:r w:rsidR="00086883">
        <w:t xml:space="preserve">meant that disadvantage arising from something connected with </w:t>
      </w:r>
      <w:r w:rsidR="00845A7B">
        <w:t>disability was, under the UK Disability Discrimination Act,</w:t>
      </w:r>
      <w:r w:rsidR="009B4255">
        <w:t>1995</w:t>
      </w:r>
      <w:r w:rsidR="008E5EE8">
        <w:t xml:space="preserve"> (DDA) ,</w:t>
      </w:r>
      <w:r w:rsidR="00845A7B">
        <w:t xml:space="preserve"> </w:t>
      </w:r>
      <w:r w:rsidR="00B00D78">
        <w:t xml:space="preserve">not </w:t>
      </w:r>
      <w:r w:rsidR="00945D80">
        <w:t>protected against</w:t>
      </w:r>
      <w:r w:rsidR="00B00D78">
        <w:t xml:space="preserve">. </w:t>
      </w:r>
      <w:r w:rsidR="00B963D7">
        <w:t xml:space="preserve">Examples </w:t>
      </w:r>
      <w:r w:rsidR="006A6E1A">
        <w:t>illustrating matters “arising from discrimination” include, for example</w:t>
      </w:r>
      <w:r w:rsidR="00ED6350">
        <w:t xml:space="preserve">, the short term effects of </w:t>
      </w:r>
      <w:r w:rsidR="00735B87">
        <w:t>drugs, such as chemotherapy</w:t>
      </w:r>
      <w:r w:rsidR="00A91A49">
        <w:t>, and a</w:t>
      </w:r>
      <w:r w:rsidR="00735B87">
        <w:t xml:space="preserve"> reliance on an </w:t>
      </w:r>
      <w:r w:rsidR="00A91A49">
        <w:t>assistance</w:t>
      </w:r>
      <w:r w:rsidR="00735B87">
        <w:t xml:space="preserve"> animal or mobil</w:t>
      </w:r>
      <w:r w:rsidR="00A91A49">
        <w:t xml:space="preserve">ity aid. </w:t>
      </w:r>
      <w:r w:rsidR="00ED6350">
        <w:t xml:space="preserve"> </w:t>
      </w:r>
      <w:r w:rsidR="00B00D78">
        <w:t>The UK Equality Act</w:t>
      </w:r>
      <w:r w:rsidR="009B4255">
        <w:t>, 2010</w:t>
      </w:r>
      <w:r w:rsidR="0069070B">
        <w:t>,</w:t>
      </w:r>
      <w:r w:rsidR="009B4255">
        <w:t xml:space="preserve"> </w:t>
      </w:r>
      <w:r w:rsidR="008E5EE8">
        <w:t xml:space="preserve">which superseded the DDA, </w:t>
      </w:r>
      <w:r w:rsidR="00173D90">
        <w:t>deals with these difficulties by introducing a new provision</w:t>
      </w:r>
      <w:r w:rsidR="00302EF7">
        <w:t xml:space="preserve"> (Section 15) </w:t>
      </w:r>
      <w:r w:rsidR="009E66E5">
        <w:t xml:space="preserve">protecting against </w:t>
      </w:r>
      <w:r w:rsidR="009E66E5" w:rsidRPr="009E66E5">
        <w:rPr>
          <w:i/>
        </w:rPr>
        <w:t>unfavorable</w:t>
      </w:r>
      <w:r w:rsidR="009E66E5">
        <w:t xml:space="preserve"> discrimination ar</w:t>
      </w:r>
      <w:r w:rsidR="007F5BDD">
        <w:t>i</w:t>
      </w:r>
      <w:r w:rsidR="009E66E5">
        <w:t xml:space="preserve">sing from disability. </w:t>
      </w:r>
      <w:r w:rsidR="0010408A">
        <w:t xml:space="preserve">The use of the term </w:t>
      </w:r>
      <w:r w:rsidR="007F5BDD">
        <w:t>“</w:t>
      </w:r>
      <w:r w:rsidR="0010408A">
        <w:t>unfavourable</w:t>
      </w:r>
      <w:r w:rsidR="007F5BDD">
        <w:t>”</w:t>
      </w:r>
      <w:r w:rsidR="0010408A">
        <w:t xml:space="preserve"> </w:t>
      </w:r>
      <w:r w:rsidR="008D30DA">
        <w:t xml:space="preserve">means that the </w:t>
      </w:r>
      <w:r w:rsidR="00582626">
        <w:t xml:space="preserve">use of comparators is not relevant and </w:t>
      </w:r>
      <w:r w:rsidR="008A18AE">
        <w:t xml:space="preserve">the “arising from” </w:t>
      </w:r>
      <w:r w:rsidR="00CA66E7">
        <w:t xml:space="preserve">terminology </w:t>
      </w:r>
      <w:r w:rsidR="00FD07A7">
        <w:t xml:space="preserve">requires only a logical connection with, rather than </w:t>
      </w:r>
      <w:r w:rsidR="00C87EA0">
        <w:t>a</w:t>
      </w:r>
      <w:r w:rsidR="00CA66E7">
        <w:t xml:space="preserve"> direct causal link to</w:t>
      </w:r>
      <w:r w:rsidR="00C87EA0">
        <w:t>,</w:t>
      </w:r>
      <w:r w:rsidR="00CA66E7">
        <w:t xml:space="preserve"> the person</w:t>
      </w:r>
      <w:r w:rsidR="004B5000">
        <w:t xml:space="preserve">’s impairment (disability). </w:t>
      </w:r>
    </w:p>
    <w:p w14:paraId="7E53385D" w14:textId="77777777" w:rsidR="004E1879" w:rsidRDefault="004B5000" w:rsidP="006C1F57">
      <w:pPr>
        <w:ind w:left="720"/>
      </w:pPr>
      <w:r>
        <w:t xml:space="preserve">The GDA has requested that ESS </w:t>
      </w:r>
      <w:r w:rsidR="0029551E">
        <w:t>ask</w:t>
      </w:r>
      <w:r w:rsidR="00C87EA0">
        <w:t>s</w:t>
      </w:r>
      <w:r w:rsidR="0029551E">
        <w:t xml:space="preserve"> for confirmation from Drs </w:t>
      </w:r>
      <w:r w:rsidR="007B3C76">
        <w:t xml:space="preserve">Quinlivan and Buckley that the </w:t>
      </w:r>
      <w:r w:rsidR="00C87EA0">
        <w:t xml:space="preserve">possible </w:t>
      </w:r>
      <w:r w:rsidR="007B3C76">
        <w:t xml:space="preserve">broad interpretation of disability </w:t>
      </w:r>
      <w:r w:rsidR="00F021AD">
        <w:t xml:space="preserve">within Guernsey’s proposed legislation, together with the </w:t>
      </w:r>
      <w:r w:rsidR="006F5F24">
        <w:t xml:space="preserve">proposed provisions for appropriate accommodation of need will mean that </w:t>
      </w:r>
      <w:r w:rsidR="00024705">
        <w:t>a UK style provision of discrimination arising from disability will not be required.</w:t>
      </w:r>
      <w:r w:rsidR="008A18AE">
        <w:t xml:space="preserve"> </w:t>
      </w:r>
    </w:p>
    <w:p w14:paraId="66F122F3" w14:textId="77777777" w:rsidR="006E72E6" w:rsidRDefault="006E72E6" w:rsidP="006C1F57">
      <w:pPr>
        <w:ind w:left="720"/>
        <w:rPr>
          <w:rStyle w:val="SubtleEmphasis"/>
          <w:b/>
        </w:rPr>
      </w:pPr>
      <w:bookmarkStart w:id="11" w:name="Accessibility"/>
      <w:bookmarkEnd w:id="11"/>
    </w:p>
    <w:p w14:paraId="05234390" w14:textId="77777777" w:rsidR="006E72E6" w:rsidRDefault="006E72E6" w:rsidP="006C1F57">
      <w:pPr>
        <w:ind w:left="720"/>
        <w:rPr>
          <w:rStyle w:val="SubtleEmphasis"/>
          <w:b/>
        </w:rPr>
      </w:pPr>
    </w:p>
    <w:p w14:paraId="59A63362" w14:textId="4BD6A921" w:rsidR="005F13D0" w:rsidRPr="00A30515" w:rsidRDefault="00A30515" w:rsidP="006C1F57">
      <w:pPr>
        <w:ind w:left="720"/>
        <w:rPr>
          <w:rStyle w:val="SubtleEmphasis"/>
          <w:b/>
        </w:rPr>
      </w:pPr>
      <w:r w:rsidRPr="00A30515">
        <w:rPr>
          <w:rStyle w:val="SubtleEmphasis"/>
          <w:b/>
        </w:rPr>
        <w:lastRenderedPageBreak/>
        <w:t xml:space="preserve">Accessibility </w:t>
      </w:r>
    </w:p>
    <w:p w14:paraId="580E0A25" w14:textId="77777777" w:rsidR="006F3E4B" w:rsidRDefault="00D4746C" w:rsidP="006C1F57">
      <w:pPr>
        <w:ind w:left="720"/>
      </w:pPr>
      <w:r>
        <w:t xml:space="preserve">The duty on </w:t>
      </w:r>
      <w:r w:rsidR="009467CF">
        <w:t xml:space="preserve">providers of goods and services </w:t>
      </w:r>
      <w:r w:rsidR="00044F93">
        <w:t xml:space="preserve">regarding </w:t>
      </w:r>
      <w:r w:rsidR="009467CF">
        <w:t xml:space="preserve">accessibility </w:t>
      </w:r>
      <w:r w:rsidR="00044F93">
        <w:t>is</w:t>
      </w:r>
      <w:r w:rsidR="00A33678">
        <w:t xml:space="preserve"> </w:t>
      </w:r>
      <w:r w:rsidR="009874ED">
        <w:t xml:space="preserve">a </w:t>
      </w:r>
      <w:r w:rsidR="00044F93">
        <w:t xml:space="preserve">more general </w:t>
      </w:r>
      <w:r w:rsidR="009874ED">
        <w:t xml:space="preserve">duty </w:t>
      </w:r>
      <w:r w:rsidR="00044F93">
        <w:t>than the duty to</w:t>
      </w:r>
      <w:r w:rsidR="00E22E85">
        <w:t xml:space="preserve"> accommodate </w:t>
      </w:r>
      <w:r w:rsidR="009874ED">
        <w:t xml:space="preserve">the known </w:t>
      </w:r>
      <w:r w:rsidR="00E22E85">
        <w:t xml:space="preserve">individual needs of existing employees or </w:t>
      </w:r>
      <w:r w:rsidR="007A2438">
        <w:t>customers</w:t>
      </w:r>
      <w:r w:rsidR="00030E0B">
        <w:t>.</w:t>
      </w:r>
      <w:r w:rsidR="0061249A">
        <w:t xml:space="preserve"> This general duty </w:t>
      </w:r>
      <w:r w:rsidR="0039188B">
        <w:t>is likely to apply to all organisations whose premises</w:t>
      </w:r>
      <w:r w:rsidR="00756C09">
        <w:t>, goods</w:t>
      </w:r>
      <w:r w:rsidR="0039188B">
        <w:t xml:space="preserve"> and services (whether for </w:t>
      </w:r>
      <w:r w:rsidR="0013363B">
        <w:t>profit or not) are customarily</w:t>
      </w:r>
      <w:r w:rsidR="006F3E4B">
        <w:t xml:space="preserve"> used or accessed by the public. </w:t>
      </w:r>
    </w:p>
    <w:p w14:paraId="2DA81B96" w14:textId="77777777" w:rsidR="006300C7" w:rsidRDefault="00FF4881" w:rsidP="006C1F57">
      <w:pPr>
        <w:ind w:left="720"/>
      </w:pPr>
      <w:r>
        <w:t>The object of this duty is to make access to goods and services</w:t>
      </w:r>
      <w:r w:rsidR="009F426A">
        <w:t xml:space="preserve"> (e.g. shops, </w:t>
      </w:r>
      <w:r w:rsidR="000F5D23">
        <w:t xml:space="preserve">information and </w:t>
      </w:r>
      <w:r w:rsidR="00B65285">
        <w:t xml:space="preserve">communications, travel, </w:t>
      </w:r>
      <w:r w:rsidR="000E3279">
        <w:t>sport, arts</w:t>
      </w:r>
      <w:r w:rsidR="006300C7">
        <w:t>,</w:t>
      </w:r>
      <w:r w:rsidR="000E3279">
        <w:t xml:space="preserve"> culture, justice and </w:t>
      </w:r>
      <w:r w:rsidR="00B65285">
        <w:t>political and public life)</w:t>
      </w:r>
      <w:r w:rsidR="009C13A1">
        <w:t xml:space="preserve"> generally available to </w:t>
      </w:r>
      <w:r w:rsidR="005664C7">
        <w:t>most people</w:t>
      </w:r>
      <w:r w:rsidR="002763E1">
        <w:rPr>
          <w:rStyle w:val="EndnoteReference"/>
        </w:rPr>
        <w:endnoteReference w:id="13"/>
      </w:r>
      <w:r w:rsidR="009C13A1">
        <w:t xml:space="preserve">, usually to a specific standard. </w:t>
      </w:r>
    </w:p>
    <w:p w14:paraId="253723C8" w14:textId="77777777" w:rsidR="006300C7" w:rsidRPr="00956A9A" w:rsidRDefault="006300C7" w:rsidP="006300C7">
      <w:pPr>
        <w:ind w:left="720"/>
      </w:pPr>
      <w:r>
        <w:t xml:space="preserve">In many </w:t>
      </w:r>
      <w:r w:rsidR="00E10140">
        <w:t>countries</w:t>
      </w:r>
      <w:r>
        <w:t>, this sort of accessibility duty has</w:t>
      </w:r>
      <w:r w:rsidR="00704E65">
        <w:t>,</w:t>
      </w:r>
      <w:r>
        <w:t xml:space="preserve"> arguably</w:t>
      </w:r>
      <w:r w:rsidR="00704E65">
        <w:t>,</w:t>
      </w:r>
      <w:r>
        <w:t xml:space="preserve"> brought more positive change for disabled people than any other provision or form of discrimination legislation.  </w:t>
      </w:r>
    </w:p>
    <w:p w14:paraId="4F6484C6" w14:textId="77777777" w:rsidR="006C1F57" w:rsidRDefault="00030E0B" w:rsidP="006C1F57">
      <w:pPr>
        <w:ind w:left="720"/>
      </w:pPr>
      <w:r>
        <w:t xml:space="preserve">This general duty, according to the Committee for the CRPD, is </w:t>
      </w:r>
      <w:r w:rsidR="005267A1" w:rsidRPr="005267A1">
        <w:rPr>
          <w:i/>
        </w:rPr>
        <w:t>ex ante</w:t>
      </w:r>
      <w:r w:rsidR="005267A1">
        <w:t xml:space="preserve"> (anticipatory) and not limited</w:t>
      </w:r>
      <w:r w:rsidR="00D56142">
        <w:t xml:space="preserve"> </w:t>
      </w:r>
      <w:r w:rsidR="00900D08">
        <w:t>(</w:t>
      </w:r>
      <w:r w:rsidR="00D56142">
        <w:t xml:space="preserve">to the same extent </w:t>
      </w:r>
      <w:r w:rsidR="00ED56CB">
        <w:t xml:space="preserve">as the duty to </w:t>
      </w:r>
      <w:r w:rsidR="00514CF2">
        <w:t>appropriately</w:t>
      </w:r>
      <w:r w:rsidR="00ED56CB">
        <w:t xml:space="preserve"> accommodate the </w:t>
      </w:r>
      <w:r w:rsidR="00900D08">
        <w:t xml:space="preserve">known needs of employees and customers) </w:t>
      </w:r>
      <w:r w:rsidR="00D56142">
        <w:t xml:space="preserve">by </w:t>
      </w:r>
      <w:r w:rsidR="00F46240">
        <w:t>a requirement to be immediately realizable</w:t>
      </w:r>
      <w:r w:rsidR="004F5221">
        <w:t>.</w:t>
      </w:r>
      <w:r w:rsidR="00044F93">
        <w:t xml:space="preserve"> </w:t>
      </w:r>
      <w:r w:rsidR="008339AD">
        <w:t xml:space="preserve">Because the duty may not be immediately realizable, </w:t>
      </w:r>
      <w:r w:rsidR="00E85388">
        <w:t xml:space="preserve">a limitation of disproportionate burden </w:t>
      </w:r>
      <w:r w:rsidR="002B1530">
        <w:t>may not apply</w:t>
      </w:r>
      <w:r w:rsidR="00E55278">
        <w:t>,</w:t>
      </w:r>
      <w:r w:rsidR="00483D4C">
        <w:t xml:space="preserve"> or th</w:t>
      </w:r>
      <w:r w:rsidR="00920AE0">
        <w:t>is</w:t>
      </w:r>
      <w:r w:rsidR="00483D4C">
        <w:t xml:space="preserve"> defence may be reduced</w:t>
      </w:r>
      <w:r w:rsidR="006C1071">
        <w:t xml:space="preserve">, </w:t>
      </w:r>
      <w:r w:rsidR="008E5CAD">
        <w:t xml:space="preserve">especially if associated standards include </w:t>
      </w:r>
      <w:r w:rsidR="002C5A0E">
        <w:t xml:space="preserve">immediate </w:t>
      </w:r>
      <w:r w:rsidR="005C63DB">
        <w:t xml:space="preserve">compliance or </w:t>
      </w:r>
      <w:r w:rsidR="00BB5F4E">
        <w:t>a date by which they must be complied with</w:t>
      </w:r>
      <w:r w:rsidR="002B1530">
        <w:t>. T</w:t>
      </w:r>
      <w:r w:rsidR="000962DC">
        <w:t>his duty might often be dealt with through ancillary regulation</w:t>
      </w:r>
      <w:r w:rsidR="008A1CA4">
        <w:t>;</w:t>
      </w:r>
      <w:r w:rsidR="00E61DDB">
        <w:t xml:space="preserve"> for </w:t>
      </w:r>
      <w:r w:rsidR="00483D4C">
        <w:t>example,</w:t>
      </w:r>
      <w:r w:rsidR="00E61DDB">
        <w:t xml:space="preserve"> through building regulation</w:t>
      </w:r>
      <w:r w:rsidR="008A1CA4">
        <w:t>,</w:t>
      </w:r>
      <w:r w:rsidR="00E61DDB">
        <w:t xml:space="preserve"> or through the setting of access standards</w:t>
      </w:r>
      <w:r w:rsidR="00C94705">
        <w:t xml:space="preserve"> such as</w:t>
      </w:r>
      <w:r w:rsidR="002011F2">
        <w:t>;</w:t>
      </w:r>
      <w:r w:rsidR="00C94705">
        <w:t xml:space="preserve"> standards of accessible vehicles, standards of customer service</w:t>
      </w:r>
      <w:r w:rsidR="00E70831">
        <w:t xml:space="preserve"> and </w:t>
      </w:r>
      <w:r w:rsidR="00C94705">
        <w:t>standards of communication and signage.</w:t>
      </w:r>
      <w:r w:rsidR="00FF36F3">
        <w:t xml:space="preserve"> </w:t>
      </w:r>
    </w:p>
    <w:p w14:paraId="5E4686F4" w14:textId="77777777" w:rsidR="00872086" w:rsidRDefault="0083280E" w:rsidP="006C1F57">
      <w:pPr>
        <w:ind w:left="720"/>
      </w:pPr>
      <w:r>
        <w:t xml:space="preserve">The GDA </w:t>
      </w:r>
      <w:r w:rsidR="00B674B8">
        <w:t xml:space="preserve">has consistently called for accessibility standards to be </w:t>
      </w:r>
      <w:r w:rsidR="00B12F71">
        <w:t xml:space="preserve">adopted or developed and for existing </w:t>
      </w:r>
      <w:r w:rsidR="001816DA">
        <w:t>building regulations to be reviewed</w:t>
      </w:r>
      <w:r w:rsidR="00B5358F">
        <w:t xml:space="preserve"> and for </w:t>
      </w:r>
      <w:r w:rsidR="004D4B0B">
        <w:t xml:space="preserve">the </w:t>
      </w:r>
      <w:r w:rsidR="00B5358F">
        <w:t xml:space="preserve">necessary authority to develop such further regulation to be included </w:t>
      </w:r>
      <w:r w:rsidR="00504A47">
        <w:t>in the discrimination legislation.</w:t>
      </w:r>
    </w:p>
    <w:p w14:paraId="52B4357A" w14:textId="77777777" w:rsidR="00B00BB6" w:rsidRDefault="00294926" w:rsidP="006C1F57">
      <w:pPr>
        <w:ind w:left="720"/>
      </w:pPr>
      <w:r>
        <w:t>D</w:t>
      </w:r>
      <w:r w:rsidR="006D10BF">
        <w:t xml:space="preserve">iscussions with ESS have highlighted </w:t>
      </w:r>
      <w:r w:rsidR="00657B1D">
        <w:t>a need to identify and prioritise the accessibility standards Guernsey should adopt or develop</w:t>
      </w:r>
      <w:r w:rsidR="003732E7">
        <w:t xml:space="preserve">. Those discussions also showed there was need for </w:t>
      </w:r>
      <w:r w:rsidR="00CC2A55">
        <w:t xml:space="preserve">the States to identify or establish mechanisms, not only to </w:t>
      </w:r>
      <w:r w:rsidR="00EB6D54">
        <w:t xml:space="preserve">carry out this identification/adoption and prioritisation process but then also to provide guidance and training </w:t>
      </w:r>
      <w:r w:rsidR="00593311">
        <w:t xml:space="preserve">and to monitor and enforce compliance. </w:t>
      </w:r>
    </w:p>
    <w:p w14:paraId="6674664E" w14:textId="77777777" w:rsidR="0083280E" w:rsidRDefault="003157AD" w:rsidP="006C1F57">
      <w:pPr>
        <w:ind w:left="720"/>
      </w:pPr>
      <w:r>
        <w:t>T</w:t>
      </w:r>
      <w:r w:rsidR="001816DA">
        <w:t xml:space="preserve">he GDA </w:t>
      </w:r>
      <w:r w:rsidR="00126844">
        <w:t>has requested ESS considers:</w:t>
      </w:r>
    </w:p>
    <w:p w14:paraId="1A85A823" w14:textId="77777777" w:rsidR="004E6D4B" w:rsidRDefault="00164F92" w:rsidP="00CD39BC">
      <w:pPr>
        <w:pStyle w:val="ListParagraph"/>
        <w:numPr>
          <w:ilvl w:val="0"/>
          <w:numId w:val="4"/>
        </w:numPr>
      </w:pPr>
      <w:r>
        <w:t>Introducing, as a part of</w:t>
      </w:r>
      <w:r w:rsidR="00367E7B">
        <w:t xml:space="preserve"> a review of building </w:t>
      </w:r>
      <w:r>
        <w:t xml:space="preserve">regulation (part M), a system </w:t>
      </w:r>
      <w:r w:rsidR="002D1E2E">
        <w:t>to ensure accessible features of buildings are retained (at the moment there is no</w:t>
      </w:r>
      <w:r w:rsidR="006F20B2">
        <w:t xml:space="preserve"> way to ensure such features are prese</w:t>
      </w:r>
      <w:r w:rsidR="00627257">
        <w:t xml:space="preserve">rved). The GDA argues that the same importance should be placed on </w:t>
      </w:r>
      <w:r w:rsidR="00736BF3">
        <w:t xml:space="preserve">preserving </w:t>
      </w:r>
      <w:r w:rsidR="00627257">
        <w:t xml:space="preserve">accessible features as </w:t>
      </w:r>
      <w:r w:rsidR="00C45FAE">
        <w:t xml:space="preserve">is applied to </w:t>
      </w:r>
      <w:r w:rsidR="00736BF3">
        <w:t xml:space="preserve">preserving </w:t>
      </w:r>
      <w:r w:rsidR="00E0006D">
        <w:t>ancient monuments.</w:t>
      </w:r>
    </w:p>
    <w:p w14:paraId="14900C7A" w14:textId="77777777" w:rsidR="00CD39BC" w:rsidRDefault="00D66822" w:rsidP="00CD39BC">
      <w:pPr>
        <w:pStyle w:val="ListParagraph"/>
        <w:numPr>
          <w:ilvl w:val="0"/>
          <w:numId w:val="4"/>
        </w:numPr>
      </w:pPr>
      <w:r>
        <w:t xml:space="preserve">Learning from </w:t>
      </w:r>
      <w:r w:rsidR="004E6D4B">
        <w:t xml:space="preserve">the approach to accessibility standards taken by </w:t>
      </w:r>
      <w:r w:rsidR="00902611">
        <w:t xml:space="preserve">the Canadian </w:t>
      </w:r>
      <w:r w:rsidR="00CE252C">
        <w:t>Provinces</w:t>
      </w:r>
      <w:r w:rsidR="00902611">
        <w:t xml:space="preserve"> of </w:t>
      </w:r>
      <w:r w:rsidR="00CE252C">
        <w:t>Manitoba</w:t>
      </w:r>
      <w:r w:rsidR="00902611">
        <w:t xml:space="preserve"> and Ontario</w:t>
      </w:r>
      <w:r>
        <w:rPr>
          <w:rStyle w:val="EndnoteReference"/>
        </w:rPr>
        <w:endnoteReference w:id="14"/>
      </w:r>
      <w:r w:rsidR="00164F92">
        <w:t xml:space="preserve"> </w:t>
      </w:r>
      <w:r w:rsidR="00903A8D">
        <w:t>.</w:t>
      </w:r>
    </w:p>
    <w:p w14:paraId="753B5BEA" w14:textId="77777777" w:rsidR="00903A8D" w:rsidRDefault="00295E80" w:rsidP="00CD39BC">
      <w:pPr>
        <w:pStyle w:val="ListParagraph"/>
        <w:numPr>
          <w:ilvl w:val="0"/>
          <w:numId w:val="4"/>
        </w:numPr>
      </w:pPr>
      <w:r>
        <w:lastRenderedPageBreak/>
        <w:t>Prioritising a customer service standard such as devel</w:t>
      </w:r>
      <w:r w:rsidR="009A19A3">
        <w:t>oped by Manitoba or Ontario</w:t>
      </w:r>
      <w:r w:rsidR="00BD0885">
        <w:t xml:space="preserve"> (th</w:t>
      </w:r>
      <w:r w:rsidR="00BC6BFA">
        <w:t>ese</w:t>
      </w:r>
      <w:r w:rsidR="00BD0885">
        <w:t xml:space="preserve"> standard deal with</w:t>
      </w:r>
      <w:r w:rsidR="00BC6BFA">
        <w:t>, for example,</w:t>
      </w:r>
      <w:r w:rsidR="00BD0885">
        <w:t xml:space="preserve"> access </w:t>
      </w:r>
      <w:r w:rsidR="00BC6BFA">
        <w:t xml:space="preserve">and approach </w:t>
      </w:r>
      <w:r w:rsidR="00BD0885">
        <w:t xml:space="preserve">to premises, </w:t>
      </w:r>
      <w:r w:rsidR="00ED3A51">
        <w:t xml:space="preserve">accessible </w:t>
      </w:r>
      <w:r w:rsidR="00376467">
        <w:t xml:space="preserve">store layout, </w:t>
      </w:r>
      <w:r w:rsidR="00083FDD">
        <w:t xml:space="preserve">lighting, </w:t>
      </w:r>
      <w:r w:rsidR="009F5896">
        <w:t xml:space="preserve">accessible parking, </w:t>
      </w:r>
      <w:r w:rsidR="00BD0885">
        <w:t xml:space="preserve">staff </w:t>
      </w:r>
      <w:r w:rsidR="00366C33">
        <w:t xml:space="preserve">training, accessibility of </w:t>
      </w:r>
      <w:r w:rsidR="00083FDD">
        <w:t xml:space="preserve">signage and </w:t>
      </w:r>
      <w:r w:rsidR="00366C33">
        <w:t>communications</w:t>
      </w:r>
      <w:r w:rsidR="00BC6BFA">
        <w:t xml:space="preserve"> </w:t>
      </w:r>
      <w:r w:rsidR="009F5896">
        <w:t xml:space="preserve">and formulating and </w:t>
      </w:r>
      <w:r w:rsidR="00083FDD">
        <w:t>filing</w:t>
      </w:r>
      <w:r w:rsidR="009F5896">
        <w:t xml:space="preserve"> an accessibility plan.)</w:t>
      </w:r>
    </w:p>
    <w:p w14:paraId="014217AC" w14:textId="77777777" w:rsidR="00497BFB" w:rsidRDefault="00497BFB" w:rsidP="00497BFB">
      <w:r>
        <w:t xml:space="preserve">Prior to these recent discussions the GDA has </w:t>
      </w:r>
      <w:r w:rsidR="009D6525">
        <w:t xml:space="preserve">been concerned with </w:t>
      </w:r>
      <w:r w:rsidR="009A1FB2">
        <w:t xml:space="preserve">improving </w:t>
      </w:r>
      <w:r w:rsidR="006B5192">
        <w:t xml:space="preserve">the </w:t>
      </w:r>
      <w:r w:rsidR="009A1FB2">
        <w:t xml:space="preserve">recognition </w:t>
      </w:r>
      <w:r w:rsidR="006B5192">
        <w:t xml:space="preserve">and realisation </w:t>
      </w:r>
      <w:r w:rsidR="009A1FB2">
        <w:t>of air passenger rights</w:t>
      </w:r>
      <w:r w:rsidR="000831A5">
        <w:t xml:space="preserve"> and accessibility standards</w:t>
      </w:r>
      <w:r w:rsidR="00BB6289">
        <w:t xml:space="preserve"> and has been in discussion with the Airport Authority, Aurigny and with ESS. </w:t>
      </w:r>
      <w:r w:rsidR="000831A5">
        <w:t xml:space="preserve"> These rights and standards are widely recognised and applied </w:t>
      </w:r>
      <w:r w:rsidR="00577FE3">
        <w:t xml:space="preserve">through the European </w:t>
      </w:r>
      <w:r w:rsidR="00670B7B">
        <w:t>Union,</w:t>
      </w:r>
      <w:r w:rsidR="00577FE3">
        <w:t xml:space="preserve"> but some only apply to flights to Guernsey originating in an EU country. </w:t>
      </w:r>
      <w:r w:rsidR="00DE6D7A">
        <w:t>The GDA ha</w:t>
      </w:r>
      <w:r w:rsidR="00BB68E1">
        <w:t>s</w:t>
      </w:r>
      <w:r w:rsidR="00DE6D7A">
        <w:t xml:space="preserve"> identified to all parties that a system which </w:t>
      </w:r>
      <w:r w:rsidR="00FC44CF">
        <w:t>recognises different standards and rights depending on direction of travel</w:t>
      </w:r>
      <w:r w:rsidR="00036F07">
        <w:t xml:space="preserve"> may</w:t>
      </w:r>
      <w:r w:rsidR="00FC44CF">
        <w:t xml:space="preserve"> not </w:t>
      </w:r>
      <w:r w:rsidR="00036F07">
        <w:t>meet the standard</w:t>
      </w:r>
      <w:r w:rsidR="00FC514E">
        <w:t>s of the CRPD or</w:t>
      </w:r>
      <w:r w:rsidR="00036F07">
        <w:t xml:space="preserve"> of Guernsey’s future discrimination legislation and have urged all parties to regularise </w:t>
      </w:r>
      <w:r w:rsidR="00762D37">
        <w:t xml:space="preserve">the standards to improve access to air travel </w:t>
      </w:r>
      <w:r w:rsidR="00090F22">
        <w:t xml:space="preserve">for islanders and to </w:t>
      </w:r>
      <w:r w:rsidR="00762D37">
        <w:t xml:space="preserve">avoid future individual complaint. </w:t>
      </w:r>
    </w:p>
    <w:p w14:paraId="5F92D81B" w14:textId="77777777" w:rsidR="00126844" w:rsidRPr="006C1F57" w:rsidRDefault="00D5603B" w:rsidP="00CD39BC">
      <w:bookmarkStart w:id="12" w:name="Compliance"/>
      <w:bookmarkEnd w:id="12"/>
      <w:r>
        <w:t xml:space="preserve">The GDA has stressed </w:t>
      </w:r>
      <w:r w:rsidR="00394F7F">
        <w:t xml:space="preserve">to ESS </w:t>
      </w:r>
      <w:r>
        <w:t xml:space="preserve">that </w:t>
      </w:r>
      <w:r w:rsidR="00527000">
        <w:t xml:space="preserve">its research has shown that compliance with duties to reasonably accommodate need and to improve standards of accessibility </w:t>
      </w:r>
      <w:r w:rsidR="00D45617">
        <w:t xml:space="preserve">are often poorly </w:t>
      </w:r>
      <w:r w:rsidR="00C07B70">
        <w:t xml:space="preserve">complied with because </w:t>
      </w:r>
      <w:r w:rsidR="009720EE">
        <w:t>the duties are not well understood and because enforcement mechanisms often rely on ind</w:t>
      </w:r>
      <w:r w:rsidR="000E18FC">
        <w:t>ividual complaint</w:t>
      </w:r>
      <w:r w:rsidR="0044524C">
        <w:t xml:space="preserve">. GDA has stressed the need for robust systems to </w:t>
      </w:r>
      <w:r w:rsidR="00065D01">
        <w:t>promote, monitor and enforce these duties.</w:t>
      </w:r>
    </w:p>
    <w:p w14:paraId="3FAF9B9A" w14:textId="77777777" w:rsidR="006E72E6" w:rsidRDefault="006E72E6">
      <w:pPr>
        <w:rPr>
          <w:b/>
        </w:rPr>
      </w:pPr>
    </w:p>
    <w:p w14:paraId="056A8923" w14:textId="3DA6B662" w:rsidR="003174E7" w:rsidRPr="00823A4E" w:rsidRDefault="00DA116E">
      <w:pPr>
        <w:rPr>
          <w:b/>
        </w:rPr>
      </w:pPr>
      <w:r w:rsidRPr="00823A4E">
        <w:rPr>
          <w:b/>
        </w:rPr>
        <w:t>Contact information</w:t>
      </w:r>
    </w:p>
    <w:p w14:paraId="631BC44D" w14:textId="77777777" w:rsidR="00FC514E" w:rsidRDefault="00DA116E">
      <w:r>
        <w:t>For further information please contact:</w:t>
      </w:r>
    </w:p>
    <w:p w14:paraId="3B46ADD7" w14:textId="77777777" w:rsidR="00DA116E" w:rsidRDefault="00DA116E">
      <w:r>
        <w:t xml:space="preserve">Rob Platts MBE – email </w:t>
      </w:r>
      <w:hyperlink r:id="rId9" w:history="1">
        <w:r w:rsidRPr="00FA489D">
          <w:rPr>
            <w:rStyle w:val="Hyperlink"/>
          </w:rPr>
          <w:t>robplatts@guernsey.net</w:t>
        </w:r>
      </w:hyperlink>
      <w:r>
        <w:t xml:space="preserve"> or phone 07802763990</w:t>
      </w:r>
    </w:p>
    <w:p w14:paraId="2187F237" w14:textId="77777777" w:rsidR="00DA116E" w:rsidRDefault="00DA116E">
      <w:r>
        <w:t xml:space="preserve">Rob Harnish – email </w:t>
      </w:r>
      <w:hyperlink r:id="rId10" w:history="1">
        <w:r w:rsidR="00823A4E" w:rsidRPr="00FA489D">
          <w:rPr>
            <w:rStyle w:val="Hyperlink"/>
          </w:rPr>
          <w:t>rob@harnish.gg</w:t>
        </w:r>
      </w:hyperlink>
      <w:r w:rsidR="00823A4E">
        <w:t xml:space="preserve"> </w:t>
      </w:r>
    </w:p>
    <w:p w14:paraId="4F3CCE46" w14:textId="77777777" w:rsidR="00930C31" w:rsidRDefault="00930C31"/>
    <w:p w14:paraId="6AC24625" w14:textId="77777777" w:rsidR="00930C31" w:rsidRDefault="00930C31">
      <w:r>
        <w:t>END NOTES:</w:t>
      </w:r>
    </w:p>
    <w:sectPr w:rsidR="00930C31" w:rsidSect="001F08D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4204D" w14:textId="77777777" w:rsidR="00C878D4" w:rsidRDefault="00C878D4" w:rsidP="009A4291">
      <w:pPr>
        <w:spacing w:after="0" w:line="240" w:lineRule="auto"/>
      </w:pPr>
      <w:r>
        <w:separator/>
      </w:r>
    </w:p>
  </w:endnote>
  <w:endnote w:type="continuationSeparator" w:id="0">
    <w:p w14:paraId="154ECBA5" w14:textId="77777777" w:rsidR="00C878D4" w:rsidRDefault="00C878D4" w:rsidP="009A4291">
      <w:pPr>
        <w:spacing w:after="0" w:line="240" w:lineRule="auto"/>
      </w:pPr>
      <w:r>
        <w:continuationSeparator/>
      </w:r>
    </w:p>
  </w:endnote>
  <w:endnote w:id="1">
    <w:p w14:paraId="4BEE3468" w14:textId="77777777" w:rsidR="00537969" w:rsidRDefault="00537969">
      <w:pPr>
        <w:pStyle w:val="EndnoteText"/>
      </w:pPr>
      <w:r>
        <w:rPr>
          <w:rStyle w:val="EndnoteReference"/>
        </w:rPr>
        <w:endnoteRef/>
      </w:r>
      <w:r>
        <w:t xml:space="preserve"> </w:t>
      </w:r>
      <w:r w:rsidR="00524539">
        <w:t>Including</w:t>
      </w:r>
      <w:r w:rsidR="00F73652">
        <w:t xml:space="preserve"> for example</w:t>
      </w:r>
      <w:r w:rsidR="00524539">
        <w:t xml:space="preserve">: </w:t>
      </w:r>
      <w:r w:rsidR="002D2C24">
        <w:t>The Republic of Ireland’s</w:t>
      </w:r>
      <w:r w:rsidR="00524539">
        <w:t xml:space="preserve"> Employment Equality Act</w:t>
      </w:r>
      <w:r w:rsidR="002E26B4">
        <w:t>s</w:t>
      </w:r>
      <w:r w:rsidR="00524539">
        <w:t xml:space="preserve"> 1998-2015</w:t>
      </w:r>
      <w:r w:rsidR="00B72C1D">
        <w:t xml:space="preserve"> and </w:t>
      </w:r>
      <w:r w:rsidR="00927820">
        <w:t xml:space="preserve"> Equal Status Act</w:t>
      </w:r>
      <w:r w:rsidR="002E26B4">
        <w:t>s 2000-2015</w:t>
      </w:r>
      <w:r w:rsidR="00B72C1D">
        <w:t xml:space="preserve"> and Australia’s </w:t>
      </w:r>
      <w:r w:rsidR="0029679B">
        <w:t xml:space="preserve">Age Discrimination Act, 2004, </w:t>
      </w:r>
      <w:r w:rsidR="008A467F">
        <w:t xml:space="preserve">Disability Discrimination Act 1992, Race Discrimination Act </w:t>
      </w:r>
      <w:r w:rsidR="00F73652">
        <w:t xml:space="preserve">1975 and </w:t>
      </w:r>
      <w:r w:rsidR="00330547">
        <w:t>Sex Discrimination Act 2004.</w:t>
      </w:r>
    </w:p>
  </w:endnote>
  <w:endnote w:id="2">
    <w:p w14:paraId="0C5D54E6" w14:textId="77777777" w:rsidR="00B74255" w:rsidRDefault="00B74255">
      <w:pPr>
        <w:pStyle w:val="EndnoteText"/>
      </w:pPr>
      <w:r>
        <w:rPr>
          <w:rStyle w:val="EndnoteReference"/>
        </w:rPr>
        <w:endnoteRef/>
      </w:r>
      <w:r>
        <w:t xml:space="preserve"> </w:t>
      </w:r>
      <w:r w:rsidR="007816F2">
        <w:t>As recognised by the Convention on the Rights of Persons with Disabilities, pre-amble (c</w:t>
      </w:r>
      <w:r w:rsidR="00CA74C7">
        <w:t>)</w:t>
      </w:r>
    </w:p>
  </w:endnote>
  <w:endnote w:id="3">
    <w:p w14:paraId="738EAA3B" w14:textId="77777777" w:rsidR="0013642B" w:rsidRDefault="0013642B">
      <w:pPr>
        <w:pStyle w:val="EndnoteText"/>
      </w:pPr>
      <w:r>
        <w:rPr>
          <w:rStyle w:val="EndnoteReference"/>
        </w:rPr>
        <w:endnoteRef/>
      </w:r>
      <w:r>
        <w:t xml:space="preserve"> Convention on the Rights of Persons</w:t>
      </w:r>
      <w:r w:rsidR="002F7107">
        <w:t xml:space="preserve"> with Disabilities, Article </w:t>
      </w:r>
      <w:r w:rsidR="0060303C">
        <w:t>4</w:t>
      </w:r>
      <w:r w:rsidR="0077093F">
        <w:t>.3</w:t>
      </w:r>
      <w:r w:rsidR="0060303C">
        <w:t xml:space="preserve"> (General Obligations) </w:t>
      </w:r>
    </w:p>
  </w:endnote>
  <w:endnote w:id="4">
    <w:p w14:paraId="43259FDB" w14:textId="77777777" w:rsidR="00391595" w:rsidRDefault="00391595">
      <w:pPr>
        <w:pStyle w:val="EndnoteText"/>
      </w:pPr>
      <w:r>
        <w:rPr>
          <w:rStyle w:val="EndnoteReference"/>
        </w:rPr>
        <w:endnoteRef/>
      </w:r>
      <w:r>
        <w:t xml:space="preserve"> Platts MBE, R, </w:t>
      </w:r>
      <w:r w:rsidR="001405B9">
        <w:t>“</w:t>
      </w:r>
      <w:r w:rsidR="00965C9D">
        <w:t>I</w:t>
      </w:r>
      <w:r w:rsidR="001405B9">
        <w:t>slands of Equality or Oceans of Discrimination”, 2013, Guernsey Disability Alliance</w:t>
      </w:r>
      <w:r w:rsidR="00294192">
        <w:t xml:space="preserve"> (</w:t>
      </w:r>
      <w:r w:rsidR="00965C9D">
        <w:t xml:space="preserve">draft, </w:t>
      </w:r>
      <w:r w:rsidR="00294192">
        <w:t>unpublished</w:t>
      </w:r>
      <w:r w:rsidR="00965C9D">
        <w:t>,</w:t>
      </w:r>
      <w:r w:rsidR="00294192">
        <w:t xml:space="preserve"> but available on </w:t>
      </w:r>
      <w:r w:rsidR="00965C9D">
        <w:t>request)</w:t>
      </w:r>
      <w:r w:rsidR="001405B9">
        <w:t>.</w:t>
      </w:r>
    </w:p>
  </w:endnote>
  <w:endnote w:id="5">
    <w:p w14:paraId="1572694E" w14:textId="77777777" w:rsidR="007E34E2" w:rsidRDefault="007E34E2">
      <w:pPr>
        <w:pStyle w:val="EndnoteText"/>
      </w:pPr>
      <w:r>
        <w:rPr>
          <w:rStyle w:val="EndnoteReference"/>
        </w:rPr>
        <w:endnoteRef/>
      </w:r>
      <w:r>
        <w:t xml:space="preserve"> See UN Convention on the Rights of Per</w:t>
      </w:r>
      <w:r w:rsidR="0043237C">
        <w:t>s</w:t>
      </w:r>
      <w:r>
        <w:t>ons with Disabilities, preamble (e)</w:t>
      </w:r>
      <w:r w:rsidR="0043237C">
        <w:t xml:space="preserve">. </w:t>
      </w:r>
    </w:p>
  </w:endnote>
  <w:endnote w:id="6">
    <w:p w14:paraId="613E9985" w14:textId="77777777" w:rsidR="006B221C" w:rsidRDefault="006B221C">
      <w:pPr>
        <w:pStyle w:val="EndnoteText"/>
      </w:pPr>
      <w:r>
        <w:rPr>
          <w:rStyle w:val="EndnoteReference"/>
        </w:rPr>
        <w:endnoteRef/>
      </w:r>
      <w:r>
        <w:t xml:space="preserve"> </w:t>
      </w:r>
      <w:r w:rsidR="00B82F0C">
        <w:t>United Nations, Office of the High Commissioner, Committee for the Convention on the Rights of Persons with Disabil</w:t>
      </w:r>
      <w:r w:rsidR="0063427D">
        <w:t>ities General Comment No 6 (2018)</w:t>
      </w:r>
      <w:r w:rsidR="008823C2">
        <w:t>, Para 2</w:t>
      </w:r>
    </w:p>
  </w:endnote>
  <w:endnote w:id="7">
    <w:p w14:paraId="39946865" w14:textId="77777777" w:rsidR="008A25BF" w:rsidRDefault="008A25BF">
      <w:pPr>
        <w:pStyle w:val="EndnoteText"/>
      </w:pPr>
      <w:r>
        <w:rPr>
          <w:rStyle w:val="EndnoteReference"/>
        </w:rPr>
        <w:endnoteRef/>
      </w:r>
      <w:r>
        <w:t xml:space="preserve"> </w:t>
      </w:r>
      <w:r w:rsidRPr="008A25BF">
        <w:t>United Nations, Office of the High Commissioner, Committee for the Convention on the Rights of Persons with Disabilities General Comment No 6 (2018)</w:t>
      </w:r>
      <w:r w:rsidR="00D711AA">
        <w:t xml:space="preserve">, </w:t>
      </w:r>
      <w:r w:rsidR="00597611">
        <w:t>Para 73 (b)</w:t>
      </w:r>
    </w:p>
  </w:endnote>
  <w:endnote w:id="8">
    <w:p w14:paraId="0D75C5CF" w14:textId="77777777" w:rsidR="00F45DB3" w:rsidRDefault="00F45DB3">
      <w:pPr>
        <w:pStyle w:val="EndnoteText"/>
      </w:pPr>
      <w:r>
        <w:rPr>
          <w:rStyle w:val="EndnoteReference"/>
        </w:rPr>
        <w:endnoteRef/>
      </w:r>
      <w:r>
        <w:t xml:space="preserve"> See</w:t>
      </w:r>
      <w:r w:rsidR="00613543">
        <w:t>, for example, Platts MBE</w:t>
      </w:r>
      <w:r w:rsidR="003966BF">
        <w:t xml:space="preserve">, R, </w:t>
      </w:r>
      <w:r w:rsidR="00814C50" w:rsidRPr="00814C50">
        <w:t>Definitions and qualifications of “disability” within disability discrimination legislation - a brief study of 38 jurisdictions</w:t>
      </w:r>
      <w:r w:rsidR="00814C50">
        <w:t>, Guernsey Disability Alliance, 2014</w:t>
      </w:r>
      <w:r w:rsidR="004E597A">
        <w:t xml:space="preserve"> (unpublished, available on request)</w:t>
      </w:r>
    </w:p>
  </w:endnote>
  <w:endnote w:id="9">
    <w:p w14:paraId="7A3244E0" w14:textId="77777777" w:rsidR="00647B0D" w:rsidRDefault="00647B0D">
      <w:pPr>
        <w:pStyle w:val="EndnoteText"/>
      </w:pPr>
      <w:r>
        <w:rPr>
          <w:rStyle w:val="EndnoteReference"/>
        </w:rPr>
        <w:endnoteRef/>
      </w:r>
      <w:r>
        <w:t xml:space="preserve"> See, for example European Court of Justice decision</w:t>
      </w:r>
      <w:r w:rsidR="00F7611D">
        <w:t>,</w:t>
      </w:r>
      <w:r>
        <w:t xml:space="preserve"> </w:t>
      </w:r>
      <w:r w:rsidR="00F7611D">
        <w:t>Kaltoft v Municipality of Billund</w:t>
      </w:r>
    </w:p>
  </w:endnote>
  <w:endnote w:id="10">
    <w:p w14:paraId="75894BCB" w14:textId="77777777" w:rsidR="00961173" w:rsidRDefault="00961173" w:rsidP="00961173">
      <w:pPr>
        <w:pStyle w:val="EndnoteText"/>
      </w:pPr>
      <w:r>
        <w:rPr>
          <w:rStyle w:val="EndnoteReference"/>
        </w:rPr>
        <w:endnoteRef/>
      </w:r>
      <w:r>
        <w:t xml:space="preserve"> </w:t>
      </w:r>
      <w:r w:rsidRPr="008A25BF">
        <w:t>United Nations, Office of the High Commissioner, Committee for the Convention on the Rights of Persons with Disabilities General Comment No 6 (2018)</w:t>
      </w:r>
      <w:r>
        <w:t>, Para 20</w:t>
      </w:r>
    </w:p>
  </w:endnote>
  <w:endnote w:id="11">
    <w:p w14:paraId="2F2DA5DB" w14:textId="77777777" w:rsidR="00635FC5" w:rsidRDefault="00635FC5">
      <w:pPr>
        <w:pStyle w:val="EndnoteText"/>
      </w:pPr>
      <w:r>
        <w:rPr>
          <w:rStyle w:val="EndnoteReference"/>
        </w:rPr>
        <w:endnoteRef/>
      </w:r>
      <w:r>
        <w:t xml:space="preserve"> </w:t>
      </w:r>
      <w:r w:rsidRPr="008A25BF">
        <w:t>United Nations, Office of the High Commissioner, Committee for the Convention on the Rights of Persons with Disabilities General Comment No 6 (2018)</w:t>
      </w:r>
      <w:r>
        <w:t>, Para 26 (e)</w:t>
      </w:r>
    </w:p>
  </w:endnote>
  <w:endnote w:id="12">
    <w:p w14:paraId="054086D2" w14:textId="77777777" w:rsidR="003627BE" w:rsidRDefault="00A74E3E" w:rsidP="003627BE">
      <w:pPr>
        <w:pStyle w:val="EndnoteText"/>
      </w:pPr>
      <w:r>
        <w:rPr>
          <w:rStyle w:val="EndnoteReference"/>
        </w:rPr>
        <w:endnoteRef/>
      </w:r>
      <w:r>
        <w:t xml:space="preserve"> </w:t>
      </w:r>
      <w:r w:rsidR="009E21AC">
        <w:t xml:space="preserve">UK House of Lords </w:t>
      </w:r>
      <w:r w:rsidR="003627BE">
        <w:t xml:space="preserve">Select Committee </w:t>
      </w:r>
      <w:r w:rsidR="00864D8D">
        <w:t xml:space="preserve">report, 2016, </w:t>
      </w:r>
      <w:r w:rsidR="003627BE">
        <w:t>The Equality Act 2010: the impact on disabled people</w:t>
      </w:r>
    </w:p>
    <w:p w14:paraId="1780EBFA" w14:textId="77777777" w:rsidR="00A74E3E" w:rsidRDefault="003627BE" w:rsidP="003627BE">
      <w:pPr>
        <w:pStyle w:val="EndnoteText"/>
      </w:pPr>
      <w:r>
        <w:t>Report of Session 2015-16 - published 24 March 2016 - HL Paper 117</w:t>
      </w:r>
    </w:p>
  </w:endnote>
  <w:endnote w:id="13">
    <w:p w14:paraId="47E98673" w14:textId="77777777" w:rsidR="002763E1" w:rsidRDefault="002763E1">
      <w:pPr>
        <w:pStyle w:val="EndnoteText"/>
      </w:pPr>
      <w:r>
        <w:rPr>
          <w:rStyle w:val="EndnoteReference"/>
        </w:rPr>
        <w:endnoteRef/>
      </w:r>
      <w:r>
        <w:t xml:space="preserve"> </w:t>
      </w:r>
      <w:r w:rsidR="008E4D36">
        <w:t xml:space="preserve">Understanding that to make all services 100% accessible to all disabled people may not be </w:t>
      </w:r>
      <w:r w:rsidR="00BB09D9">
        <w:t xml:space="preserve">reasonably possible even </w:t>
      </w:r>
      <w:r w:rsidR="00DF1890">
        <w:t>if the defence of disproportionate burden is reduced through progressive realisation</w:t>
      </w:r>
      <w:r w:rsidR="00351185">
        <w:t>.</w:t>
      </w:r>
    </w:p>
  </w:endnote>
  <w:endnote w:id="14">
    <w:p w14:paraId="64D7BF32" w14:textId="77777777" w:rsidR="00D66822" w:rsidRDefault="00D66822">
      <w:pPr>
        <w:pStyle w:val="EndnoteText"/>
      </w:pPr>
      <w:r>
        <w:rPr>
          <w:rStyle w:val="EndnoteReference"/>
        </w:rPr>
        <w:endnoteRef/>
      </w:r>
      <w:r>
        <w:t xml:space="preserve"> See, for example, The Access</w:t>
      </w:r>
      <w:r w:rsidR="00FB43D5">
        <w:t>ibility</w:t>
      </w:r>
      <w:r>
        <w:t xml:space="preserve"> for Ontarians Act </w:t>
      </w:r>
      <w:r w:rsidR="00FB43D5">
        <w:t xml:space="preserve">and </w:t>
      </w:r>
      <w:r w:rsidR="009C6666">
        <w:t>the Accessibility for Manit</w:t>
      </w:r>
      <w:r w:rsidR="00FE08CE">
        <w:t>obans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4EE5" w14:textId="77777777" w:rsidR="00C878D4" w:rsidRDefault="00C878D4" w:rsidP="009A4291">
      <w:pPr>
        <w:spacing w:after="0" w:line="240" w:lineRule="auto"/>
      </w:pPr>
      <w:r>
        <w:separator/>
      </w:r>
    </w:p>
  </w:footnote>
  <w:footnote w:type="continuationSeparator" w:id="0">
    <w:p w14:paraId="7DF0DB93" w14:textId="77777777" w:rsidR="00C878D4" w:rsidRDefault="00C878D4" w:rsidP="009A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19F6" w14:textId="77777777" w:rsidR="008831D0" w:rsidRDefault="008831D0" w:rsidP="00B36DA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EE81" w14:textId="77777777" w:rsidR="001F08D8" w:rsidRDefault="001F08D8" w:rsidP="00B93584">
    <w:pPr>
      <w:pStyle w:val="Header"/>
    </w:pPr>
    <w:r>
      <w:rPr>
        <w:noProof/>
        <w:lang w:val="en-US"/>
      </w:rPr>
      <w:drawing>
        <wp:anchor distT="0" distB="0" distL="114300" distR="114300" simplePos="0" relativeHeight="251658240" behindDoc="0" locked="0" layoutInCell="1" allowOverlap="1" wp14:anchorId="17449AB9" wp14:editId="3DF06F64">
          <wp:simplePos x="0" y="0"/>
          <wp:positionH relativeFrom="margin">
            <wp:posOffset>1759597</wp:posOffset>
          </wp:positionH>
          <wp:positionV relativeFrom="paragraph">
            <wp:posOffset>-381372</wp:posOffset>
          </wp:positionV>
          <wp:extent cx="1887855" cy="20840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A logo 10 years - with strap copy.jpg"/>
                  <pic:cNvPicPr/>
                </pic:nvPicPr>
                <pic:blipFill>
                  <a:blip r:embed="rId1">
                    <a:extLst>
                      <a:ext uri="{28A0092B-C50C-407E-A947-70E740481C1C}">
                        <a14:useLocalDpi xmlns:a14="http://schemas.microsoft.com/office/drawing/2010/main" val="0"/>
                      </a:ext>
                    </a:extLst>
                  </a:blip>
                  <a:stretch>
                    <a:fillRect/>
                  </a:stretch>
                </pic:blipFill>
                <pic:spPr>
                  <a:xfrm>
                    <a:off x="0" y="0"/>
                    <a:ext cx="1887855" cy="208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21D2"/>
    <w:multiLevelType w:val="hybridMultilevel"/>
    <w:tmpl w:val="E8606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E11117"/>
    <w:multiLevelType w:val="hybridMultilevel"/>
    <w:tmpl w:val="AE58FA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2363267"/>
    <w:multiLevelType w:val="hybridMultilevel"/>
    <w:tmpl w:val="D356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91272"/>
    <w:multiLevelType w:val="hybridMultilevel"/>
    <w:tmpl w:val="AD089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E7"/>
    <w:rsid w:val="000027CC"/>
    <w:rsid w:val="000077F7"/>
    <w:rsid w:val="00013AD4"/>
    <w:rsid w:val="00015715"/>
    <w:rsid w:val="00015A75"/>
    <w:rsid w:val="00016CD9"/>
    <w:rsid w:val="00020248"/>
    <w:rsid w:val="000205E3"/>
    <w:rsid w:val="00024705"/>
    <w:rsid w:val="00025136"/>
    <w:rsid w:val="000262C7"/>
    <w:rsid w:val="00030E0B"/>
    <w:rsid w:val="00032EDE"/>
    <w:rsid w:val="00035C6D"/>
    <w:rsid w:val="0003650B"/>
    <w:rsid w:val="00036809"/>
    <w:rsid w:val="00036F07"/>
    <w:rsid w:val="00042659"/>
    <w:rsid w:val="00042888"/>
    <w:rsid w:val="00042A14"/>
    <w:rsid w:val="00042ACB"/>
    <w:rsid w:val="00044F93"/>
    <w:rsid w:val="00053132"/>
    <w:rsid w:val="00055C00"/>
    <w:rsid w:val="00060B18"/>
    <w:rsid w:val="00062C36"/>
    <w:rsid w:val="00064D4E"/>
    <w:rsid w:val="00065D01"/>
    <w:rsid w:val="00074D9D"/>
    <w:rsid w:val="00080707"/>
    <w:rsid w:val="000831A5"/>
    <w:rsid w:val="00083FDD"/>
    <w:rsid w:val="00085289"/>
    <w:rsid w:val="00086883"/>
    <w:rsid w:val="00086F22"/>
    <w:rsid w:val="00090117"/>
    <w:rsid w:val="00090F22"/>
    <w:rsid w:val="00091815"/>
    <w:rsid w:val="00091E14"/>
    <w:rsid w:val="00094CBF"/>
    <w:rsid w:val="00095091"/>
    <w:rsid w:val="000953C2"/>
    <w:rsid w:val="000962DC"/>
    <w:rsid w:val="00097B03"/>
    <w:rsid w:val="000A25AA"/>
    <w:rsid w:val="000A2F45"/>
    <w:rsid w:val="000A40DA"/>
    <w:rsid w:val="000B541C"/>
    <w:rsid w:val="000B600D"/>
    <w:rsid w:val="000B7174"/>
    <w:rsid w:val="000C00BB"/>
    <w:rsid w:val="000C4D0D"/>
    <w:rsid w:val="000D0BC9"/>
    <w:rsid w:val="000D21F9"/>
    <w:rsid w:val="000D2D70"/>
    <w:rsid w:val="000E0F4E"/>
    <w:rsid w:val="000E18FC"/>
    <w:rsid w:val="000E2B91"/>
    <w:rsid w:val="000E3279"/>
    <w:rsid w:val="000E6230"/>
    <w:rsid w:val="000E77EB"/>
    <w:rsid w:val="000E7931"/>
    <w:rsid w:val="000F16C4"/>
    <w:rsid w:val="000F5D23"/>
    <w:rsid w:val="000F69E1"/>
    <w:rsid w:val="001008F0"/>
    <w:rsid w:val="0010408A"/>
    <w:rsid w:val="00104B7A"/>
    <w:rsid w:val="00105B25"/>
    <w:rsid w:val="0010782E"/>
    <w:rsid w:val="001078AF"/>
    <w:rsid w:val="001119E6"/>
    <w:rsid w:val="001127A4"/>
    <w:rsid w:val="00114548"/>
    <w:rsid w:val="00116BC0"/>
    <w:rsid w:val="00124FF0"/>
    <w:rsid w:val="00125DD0"/>
    <w:rsid w:val="00126489"/>
    <w:rsid w:val="00126844"/>
    <w:rsid w:val="00131CA7"/>
    <w:rsid w:val="0013363B"/>
    <w:rsid w:val="0013400A"/>
    <w:rsid w:val="00135CB4"/>
    <w:rsid w:val="0013642B"/>
    <w:rsid w:val="00136D73"/>
    <w:rsid w:val="001371D6"/>
    <w:rsid w:val="00137EF3"/>
    <w:rsid w:val="001405B9"/>
    <w:rsid w:val="001475E6"/>
    <w:rsid w:val="001516FA"/>
    <w:rsid w:val="00152DB2"/>
    <w:rsid w:val="001536A8"/>
    <w:rsid w:val="00153CB3"/>
    <w:rsid w:val="0015673C"/>
    <w:rsid w:val="00156933"/>
    <w:rsid w:val="00160DEE"/>
    <w:rsid w:val="001626CE"/>
    <w:rsid w:val="001646BD"/>
    <w:rsid w:val="00164A92"/>
    <w:rsid w:val="00164F92"/>
    <w:rsid w:val="00165A19"/>
    <w:rsid w:val="001722A4"/>
    <w:rsid w:val="00172AD6"/>
    <w:rsid w:val="0017352F"/>
    <w:rsid w:val="00173957"/>
    <w:rsid w:val="00173D90"/>
    <w:rsid w:val="0017473C"/>
    <w:rsid w:val="00176645"/>
    <w:rsid w:val="00180FA2"/>
    <w:rsid w:val="001816DA"/>
    <w:rsid w:val="00181E68"/>
    <w:rsid w:val="00182CC0"/>
    <w:rsid w:val="00184040"/>
    <w:rsid w:val="001866C8"/>
    <w:rsid w:val="001908A5"/>
    <w:rsid w:val="00192E55"/>
    <w:rsid w:val="00194A7E"/>
    <w:rsid w:val="00195592"/>
    <w:rsid w:val="00196C7D"/>
    <w:rsid w:val="00197C40"/>
    <w:rsid w:val="001A074F"/>
    <w:rsid w:val="001A26BF"/>
    <w:rsid w:val="001A59BF"/>
    <w:rsid w:val="001A6C82"/>
    <w:rsid w:val="001B0214"/>
    <w:rsid w:val="001B08DB"/>
    <w:rsid w:val="001B0C6A"/>
    <w:rsid w:val="001B52F7"/>
    <w:rsid w:val="001B54FC"/>
    <w:rsid w:val="001B60D8"/>
    <w:rsid w:val="001C161F"/>
    <w:rsid w:val="001C58ED"/>
    <w:rsid w:val="001C6A68"/>
    <w:rsid w:val="001D0D29"/>
    <w:rsid w:val="001D6B6C"/>
    <w:rsid w:val="001D6E46"/>
    <w:rsid w:val="001E536C"/>
    <w:rsid w:val="001E5C77"/>
    <w:rsid w:val="001E7195"/>
    <w:rsid w:val="001F07DA"/>
    <w:rsid w:val="001F08D8"/>
    <w:rsid w:val="001F1B7B"/>
    <w:rsid w:val="001F26A1"/>
    <w:rsid w:val="001F2808"/>
    <w:rsid w:val="001F7564"/>
    <w:rsid w:val="002011F2"/>
    <w:rsid w:val="00201AEC"/>
    <w:rsid w:val="0020244D"/>
    <w:rsid w:val="00202C7B"/>
    <w:rsid w:val="0020443B"/>
    <w:rsid w:val="002067D4"/>
    <w:rsid w:val="00210C8F"/>
    <w:rsid w:val="00211045"/>
    <w:rsid w:val="002115AC"/>
    <w:rsid w:val="00211A56"/>
    <w:rsid w:val="00211E5F"/>
    <w:rsid w:val="00217B42"/>
    <w:rsid w:val="00220311"/>
    <w:rsid w:val="00221B57"/>
    <w:rsid w:val="00223874"/>
    <w:rsid w:val="00227618"/>
    <w:rsid w:val="00230667"/>
    <w:rsid w:val="00234B68"/>
    <w:rsid w:val="00236648"/>
    <w:rsid w:val="00244DF7"/>
    <w:rsid w:val="00246FE6"/>
    <w:rsid w:val="00252BEE"/>
    <w:rsid w:val="00253006"/>
    <w:rsid w:val="00255A0E"/>
    <w:rsid w:val="002569AB"/>
    <w:rsid w:val="00264D3D"/>
    <w:rsid w:val="00265439"/>
    <w:rsid w:val="0026552F"/>
    <w:rsid w:val="002656D6"/>
    <w:rsid w:val="00270145"/>
    <w:rsid w:val="0027101A"/>
    <w:rsid w:val="00271B7E"/>
    <w:rsid w:val="00272A9C"/>
    <w:rsid w:val="00275CDC"/>
    <w:rsid w:val="002763E1"/>
    <w:rsid w:val="002838A9"/>
    <w:rsid w:val="00283DA4"/>
    <w:rsid w:val="00292838"/>
    <w:rsid w:val="0029311D"/>
    <w:rsid w:val="00294192"/>
    <w:rsid w:val="00294926"/>
    <w:rsid w:val="0029551E"/>
    <w:rsid w:val="00295E80"/>
    <w:rsid w:val="002965BF"/>
    <w:rsid w:val="0029679B"/>
    <w:rsid w:val="00297913"/>
    <w:rsid w:val="00297A49"/>
    <w:rsid w:val="00297E7C"/>
    <w:rsid w:val="002A05C5"/>
    <w:rsid w:val="002A190D"/>
    <w:rsid w:val="002A1DD6"/>
    <w:rsid w:val="002A2026"/>
    <w:rsid w:val="002A6365"/>
    <w:rsid w:val="002B0E0F"/>
    <w:rsid w:val="002B1530"/>
    <w:rsid w:val="002B1864"/>
    <w:rsid w:val="002B7323"/>
    <w:rsid w:val="002C4F36"/>
    <w:rsid w:val="002C5A0E"/>
    <w:rsid w:val="002C7813"/>
    <w:rsid w:val="002D1229"/>
    <w:rsid w:val="002D1679"/>
    <w:rsid w:val="002D1E2E"/>
    <w:rsid w:val="002D2C24"/>
    <w:rsid w:val="002D2D51"/>
    <w:rsid w:val="002D2FBA"/>
    <w:rsid w:val="002D7881"/>
    <w:rsid w:val="002E26B4"/>
    <w:rsid w:val="002E2C6F"/>
    <w:rsid w:val="002E4480"/>
    <w:rsid w:val="002E4727"/>
    <w:rsid w:val="002E7DAF"/>
    <w:rsid w:val="002F0705"/>
    <w:rsid w:val="002F2D11"/>
    <w:rsid w:val="002F598E"/>
    <w:rsid w:val="002F7107"/>
    <w:rsid w:val="002F7C4B"/>
    <w:rsid w:val="00300016"/>
    <w:rsid w:val="00301AE9"/>
    <w:rsid w:val="0030245D"/>
    <w:rsid w:val="00302EF7"/>
    <w:rsid w:val="003072C8"/>
    <w:rsid w:val="00307BB7"/>
    <w:rsid w:val="00311D97"/>
    <w:rsid w:val="00313C3D"/>
    <w:rsid w:val="003140F6"/>
    <w:rsid w:val="00314B8D"/>
    <w:rsid w:val="00314D88"/>
    <w:rsid w:val="0031566B"/>
    <w:rsid w:val="003157AD"/>
    <w:rsid w:val="003174E7"/>
    <w:rsid w:val="0031761F"/>
    <w:rsid w:val="00322FB7"/>
    <w:rsid w:val="003266C4"/>
    <w:rsid w:val="003272FB"/>
    <w:rsid w:val="00327334"/>
    <w:rsid w:val="00330547"/>
    <w:rsid w:val="003318CD"/>
    <w:rsid w:val="00333D3A"/>
    <w:rsid w:val="003351EE"/>
    <w:rsid w:val="00342F6C"/>
    <w:rsid w:val="003433C0"/>
    <w:rsid w:val="00350C02"/>
    <w:rsid w:val="00351185"/>
    <w:rsid w:val="003516D0"/>
    <w:rsid w:val="00351C95"/>
    <w:rsid w:val="0035521D"/>
    <w:rsid w:val="0035740D"/>
    <w:rsid w:val="00361907"/>
    <w:rsid w:val="003626C7"/>
    <w:rsid w:val="003627BE"/>
    <w:rsid w:val="00362CBD"/>
    <w:rsid w:val="00366C33"/>
    <w:rsid w:val="00367E7B"/>
    <w:rsid w:val="003732E7"/>
    <w:rsid w:val="00376098"/>
    <w:rsid w:val="00376467"/>
    <w:rsid w:val="00377F79"/>
    <w:rsid w:val="00377F8A"/>
    <w:rsid w:val="00382ECC"/>
    <w:rsid w:val="00383190"/>
    <w:rsid w:val="00385669"/>
    <w:rsid w:val="00391595"/>
    <w:rsid w:val="0039188B"/>
    <w:rsid w:val="00393CC6"/>
    <w:rsid w:val="00394F7F"/>
    <w:rsid w:val="003966BF"/>
    <w:rsid w:val="003967B2"/>
    <w:rsid w:val="003A22CE"/>
    <w:rsid w:val="003A38A5"/>
    <w:rsid w:val="003A43DD"/>
    <w:rsid w:val="003A4454"/>
    <w:rsid w:val="003B0A14"/>
    <w:rsid w:val="003B0FD0"/>
    <w:rsid w:val="003B6237"/>
    <w:rsid w:val="003B6FDE"/>
    <w:rsid w:val="003C088E"/>
    <w:rsid w:val="003C0FBF"/>
    <w:rsid w:val="003C258B"/>
    <w:rsid w:val="003C3E60"/>
    <w:rsid w:val="003C4BFB"/>
    <w:rsid w:val="003C536D"/>
    <w:rsid w:val="003C5597"/>
    <w:rsid w:val="003C77E6"/>
    <w:rsid w:val="003D0009"/>
    <w:rsid w:val="003D15EB"/>
    <w:rsid w:val="003D23C5"/>
    <w:rsid w:val="003D3553"/>
    <w:rsid w:val="003D59BC"/>
    <w:rsid w:val="003D6C0D"/>
    <w:rsid w:val="003E0EF3"/>
    <w:rsid w:val="003E0EF9"/>
    <w:rsid w:val="003E5F2A"/>
    <w:rsid w:val="003E63CB"/>
    <w:rsid w:val="003E6B9F"/>
    <w:rsid w:val="003F726C"/>
    <w:rsid w:val="003F7E85"/>
    <w:rsid w:val="00400335"/>
    <w:rsid w:val="00401EB9"/>
    <w:rsid w:val="004028E7"/>
    <w:rsid w:val="00407AF9"/>
    <w:rsid w:val="0041056F"/>
    <w:rsid w:val="004128BF"/>
    <w:rsid w:val="00415FDC"/>
    <w:rsid w:val="004166C1"/>
    <w:rsid w:val="00421A12"/>
    <w:rsid w:val="00421B00"/>
    <w:rsid w:val="004254B1"/>
    <w:rsid w:val="00427E81"/>
    <w:rsid w:val="0043237C"/>
    <w:rsid w:val="00433D63"/>
    <w:rsid w:val="00433FA4"/>
    <w:rsid w:val="00435A63"/>
    <w:rsid w:val="004403D8"/>
    <w:rsid w:val="00440CD4"/>
    <w:rsid w:val="0044265F"/>
    <w:rsid w:val="004428C7"/>
    <w:rsid w:val="00443FD5"/>
    <w:rsid w:val="00444319"/>
    <w:rsid w:val="00444785"/>
    <w:rsid w:val="0044524C"/>
    <w:rsid w:val="00446198"/>
    <w:rsid w:val="00446628"/>
    <w:rsid w:val="0044770A"/>
    <w:rsid w:val="0045172A"/>
    <w:rsid w:val="004553BC"/>
    <w:rsid w:val="0045665F"/>
    <w:rsid w:val="00456A60"/>
    <w:rsid w:val="00461C10"/>
    <w:rsid w:val="004624F5"/>
    <w:rsid w:val="004672D3"/>
    <w:rsid w:val="0046798E"/>
    <w:rsid w:val="00471515"/>
    <w:rsid w:val="00472762"/>
    <w:rsid w:val="00473153"/>
    <w:rsid w:val="004759C3"/>
    <w:rsid w:val="00476BEA"/>
    <w:rsid w:val="00477424"/>
    <w:rsid w:val="004777ED"/>
    <w:rsid w:val="00477899"/>
    <w:rsid w:val="004800B7"/>
    <w:rsid w:val="0048057C"/>
    <w:rsid w:val="00483562"/>
    <w:rsid w:val="004837E2"/>
    <w:rsid w:val="00483D4C"/>
    <w:rsid w:val="00484045"/>
    <w:rsid w:val="00486D38"/>
    <w:rsid w:val="00493B28"/>
    <w:rsid w:val="00495E22"/>
    <w:rsid w:val="00497BFB"/>
    <w:rsid w:val="004A03E4"/>
    <w:rsid w:val="004A1509"/>
    <w:rsid w:val="004A22F6"/>
    <w:rsid w:val="004A2E92"/>
    <w:rsid w:val="004A73AE"/>
    <w:rsid w:val="004A7A9C"/>
    <w:rsid w:val="004B1A48"/>
    <w:rsid w:val="004B20D6"/>
    <w:rsid w:val="004B2794"/>
    <w:rsid w:val="004B5000"/>
    <w:rsid w:val="004C232D"/>
    <w:rsid w:val="004C2E29"/>
    <w:rsid w:val="004C324B"/>
    <w:rsid w:val="004C5DEB"/>
    <w:rsid w:val="004D0D51"/>
    <w:rsid w:val="004D4B0B"/>
    <w:rsid w:val="004D7EA9"/>
    <w:rsid w:val="004E1879"/>
    <w:rsid w:val="004E597A"/>
    <w:rsid w:val="004E6256"/>
    <w:rsid w:val="004E6D4B"/>
    <w:rsid w:val="004E71FC"/>
    <w:rsid w:val="004E72C3"/>
    <w:rsid w:val="004F0CC9"/>
    <w:rsid w:val="004F201C"/>
    <w:rsid w:val="004F5221"/>
    <w:rsid w:val="004F5476"/>
    <w:rsid w:val="004F630C"/>
    <w:rsid w:val="004F746D"/>
    <w:rsid w:val="00500793"/>
    <w:rsid w:val="00504A47"/>
    <w:rsid w:val="00506112"/>
    <w:rsid w:val="005078DE"/>
    <w:rsid w:val="00511A0F"/>
    <w:rsid w:val="0051390D"/>
    <w:rsid w:val="00514CF2"/>
    <w:rsid w:val="00516978"/>
    <w:rsid w:val="00521729"/>
    <w:rsid w:val="0052187D"/>
    <w:rsid w:val="00524539"/>
    <w:rsid w:val="00524910"/>
    <w:rsid w:val="005267A1"/>
    <w:rsid w:val="00527000"/>
    <w:rsid w:val="0052741F"/>
    <w:rsid w:val="005305A6"/>
    <w:rsid w:val="00531809"/>
    <w:rsid w:val="00531B88"/>
    <w:rsid w:val="00531BA5"/>
    <w:rsid w:val="00531FBD"/>
    <w:rsid w:val="00532500"/>
    <w:rsid w:val="00533211"/>
    <w:rsid w:val="005352A5"/>
    <w:rsid w:val="00537969"/>
    <w:rsid w:val="005406E2"/>
    <w:rsid w:val="00542D23"/>
    <w:rsid w:val="005433C1"/>
    <w:rsid w:val="005436BF"/>
    <w:rsid w:val="00544BF3"/>
    <w:rsid w:val="0054611B"/>
    <w:rsid w:val="005468F6"/>
    <w:rsid w:val="0055201A"/>
    <w:rsid w:val="00552F42"/>
    <w:rsid w:val="0055424E"/>
    <w:rsid w:val="00554C7E"/>
    <w:rsid w:val="00556FA3"/>
    <w:rsid w:val="0056098F"/>
    <w:rsid w:val="005622AF"/>
    <w:rsid w:val="00562CFA"/>
    <w:rsid w:val="005664C7"/>
    <w:rsid w:val="00570109"/>
    <w:rsid w:val="0057240B"/>
    <w:rsid w:val="0057506E"/>
    <w:rsid w:val="00575F9E"/>
    <w:rsid w:val="00577645"/>
    <w:rsid w:val="00577FE3"/>
    <w:rsid w:val="00582626"/>
    <w:rsid w:val="00584DA1"/>
    <w:rsid w:val="005926EC"/>
    <w:rsid w:val="00593311"/>
    <w:rsid w:val="00597611"/>
    <w:rsid w:val="00597739"/>
    <w:rsid w:val="00597A06"/>
    <w:rsid w:val="005A5AED"/>
    <w:rsid w:val="005A77A2"/>
    <w:rsid w:val="005B13CB"/>
    <w:rsid w:val="005C2255"/>
    <w:rsid w:val="005C2F1C"/>
    <w:rsid w:val="005C326F"/>
    <w:rsid w:val="005C63DB"/>
    <w:rsid w:val="005D189D"/>
    <w:rsid w:val="005D2B19"/>
    <w:rsid w:val="005D670B"/>
    <w:rsid w:val="005D6B8B"/>
    <w:rsid w:val="005D7AA2"/>
    <w:rsid w:val="005E03D8"/>
    <w:rsid w:val="005E517E"/>
    <w:rsid w:val="005E5520"/>
    <w:rsid w:val="005E653A"/>
    <w:rsid w:val="005F08E8"/>
    <w:rsid w:val="005F0954"/>
    <w:rsid w:val="005F0A67"/>
    <w:rsid w:val="005F1081"/>
    <w:rsid w:val="005F13D0"/>
    <w:rsid w:val="005F2512"/>
    <w:rsid w:val="005F5EF6"/>
    <w:rsid w:val="0060072D"/>
    <w:rsid w:val="0060303C"/>
    <w:rsid w:val="00605EF5"/>
    <w:rsid w:val="00607403"/>
    <w:rsid w:val="0061249A"/>
    <w:rsid w:val="00613543"/>
    <w:rsid w:val="006179C2"/>
    <w:rsid w:val="00617EF7"/>
    <w:rsid w:val="006231F8"/>
    <w:rsid w:val="00623E50"/>
    <w:rsid w:val="00626678"/>
    <w:rsid w:val="00626BD8"/>
    <w:rsid w:val="00627257"/>
    <w:rsid w:val="006300C7"/>
    <w:rsid w:val="00630AA1"/>
    <w:rsid w:val="00632517"/>
    <w:rsid w:val="00632D3C"/>
    <w:rsid w:val="0063427D"/>
    <w:rsid w:val="00635FC5"/>
    <w:rsid w:val="00637B68"/>
    <w:rsid w:val="00640778"/>
    <w:rsid w:val="006411EA"/>
    <w:rsid w:val="006412D5"/>
    <w:rsid w:val="0064320C"/>
    <w:rsid w:val="00644195"/>
    <w:rsid w:val="006469C2"/>
    <w:rsid w:val="00646D46"/>
    <w:rsid w:val="00647B0D"/>
    <w:rsid w:val="00650584"/>
    <w:rsid w:val="00657B1D"/>
    <w:rsid w:val="0066137C"/>
    <w:rsid w:val="00665C19"/>
    <w:rsid w:val="00670B7B"/>
    <w:rsid w:val="006710C2"/>
    <w:rsid w:val="0067482C"/>
    <w:rsid w:val="0067668D"/>
    <w:rsid w:val="006766AF"/>
    <w:rsid w:val="00677669"/>
    <w:rsid w:val="006810DD"/>
    <w:rsid w:val="00682D24"/>
    <w:rsid w:val="00683501"/>
    <w:rsid w:val="00684238"/>
    <w:rsid w:val="006848A6"/>
    <w:rsid w:val="00684938"/>
    <w:rsid w:val="006851C4"/>
    <w:rsid w:val="00686826"/>
    <w:rsid w:val="0069070B"/>
    <w:rsid w:val="00695A11"/>
    <w:rsid w:val="006A29FC"/>
    <w:rsid w:val="006A568A"/>
    <w:rsid w:val="006A6E1A"/>
    <w:rsid w:val="006A6E83"/>
    <w:rsid w:val="006A7969"/>
    <w:rsid w:val="006B221C"/>
    <w:rsid w:val="006B32DF"/>
    <w:rsid w:val="006B5192"/>
    <w:rsid w:val="006C1071"/>
    <w:rsid w:val="006C1F57"/>
    <w:rsid w:val="006C3D4C"/>
    <w:rsid w:val="006C60A7"/>
    <w:rsid w:val="006C7D47"/>
    <w:rsid w:val="006D10BF"/>
    <w:rsid w:val="006D4B7A"/>
    <w:rsid w:val="006D7739"/>
    <w:rsid w:val="006E2F36"/>
    <w:rsid w:val="006E2FFA"/>
    <w:rsid w:val="006E33B3"/>
    <w:rsid w:val="006E565C"/>
    <w:rsid w:val="006E57C9"/>
    <w:rsid w:val="006E5BD3"/>
    <w:rsid w:val="006E6070"/>
    <w:rsid w:val="006E6CB0"/>
    <w:rsid w:val="006E6D13"/>
    <w:rsid w:val="006E72E6"/>
    <w:rsid w:val="006F01BA"/>
    <w:rsid w:val="006F20B2"/>
    <w:rsid w:val="006F3E4B"/>
    <w:rsid w:val="006F5F24"/>
    <w:rsid w:val="006F7BA3"/>
    <w:rsid w:val="0070158A"/>
    <w:rsid w:val="00703A40"/>
    <w:rsid w:val="00704E65"/>
    <w:rsid w:val="007050B1"/>
    <w:rsid w:val="007050FB"/>
    <w:rsid w:val="007054FB"/>
    <w:rsid w:val="007071AB"/>
    <w:rsid w:val="007100AF"/>
    <w:rsid w:val="007101D8"/>
    <w:rsid w:val="00711635"/>
    <w:rsid w:val="007217B6"/>
    <w:rsid w:val="00721D5B"/>
    <w:rsid w:val="00725182"/>
    <w:rsid w:val="00731842"/>
    <w:rsid w:val="00731B11"/>
    <w:rsid w:val="00734134"/>
    <w:rsid w:val="00735B87"/>
    <w:rsid w:val="007363D2"/>
    <w:rsid w:val="00736BF3"/>
    <w:rsid w:val="00737634"/>
    <w:rsid w:val="00745401"/>
    <w:rsid w:val="00747A85"/>
    <w:rsid w:val="00750272"/>
    <w:rsid w:val="00750999"/>
    <w:rsid w:val="00751290"/>
    <w:rsid w:val="007535E0"/>
    <w:rsid w:val="00755376"/>
    <w:rsid w:val="00756C09"/>
    <w:rsid w:val="00760FD4"/>
    <w:rsid w:val="00762D37"/>
    <w:rsid w:val="00766851"/>
    <w:rsid w:val="0077093F"/>
    <w:rsid w:val="00775317"/>
    <w:rsid w:val="00776756"/>
    <w:rsid w:val="00781383"/>
    <w:rsid w:val="007816F2"/>
    <w:rsid w:val="0078341E"/>
    <w:rsid w:val="007838C5"/>
    <w:rsid w:val="007844BA"/>
    <w:rsid w:val="00785FC0"/>
    <w:rsid w:val="00790779"/>
    <w:rsid w:val="0079246E"/>
    <w:rsid w:val="007926AC"/>
    <w:rsid w:val="007A2438"/>
    <w:rsid w:val="007A4637"/>
    <w:rsid w:val="007A7B14"/>
    <w:rsid w:val="007B0D97"/>
    <w:rsid w:val="007B1B7A"/>
    <w:rsid w:val="007B279D"/>
    <w:rsid w:val="007B2D75"/>
    <w:rsid w:val="007B3839"/>
    <w:rsid w:val="007B3C76"/>
    <w:rsid w:val="007C3057"/>
    <w:rsid w:val="007C540B"/>
    <w:rsid w:val="007C614A"/>
    <w:rsid w:val="007C679E"/>
    <w:rsid w:val="007D700B"/>
    <w:rsid w:val="007E34E2"/>
    <w:rsid w:val="007E4F51"/>
    <w:rsid w:val="007E6644"/>
    <w:rsid w:val="007E73D4"/>
    <w:rsid w:val="007E7E28"/>
    <w:rsid w:val="007F1373"/>
    <w:rsid w:val="007F5BDD"/>
    <w:rsid w:val="00801215"/>
    <w:rsid w:val="00801C71"/>
    <w:rsid w:val="008020C5"/>
    <w:rsid w:val="00802A17"/>
    <w:rsid w:val="00803AF2"/>
    <w:rsid w:val="0080604C"/>
    <w:rsid w:val="00811520"/>
    <w:rsid w:val="00813D4E"/>
    <w:rsid w:val="00814C50"/>
    <w:rsid w:val="00816197"/>
    <w:rsid w:val="00816260"/>
    <w:rsid w:val="008210E3"/>
    <w:rsid w:val="00823A4E"/>
    <w:rsid w:val="00824BAA"/>
    <w:rsid w:val="00830DDA"/>
    <w:rsid w:val="0083280E"/>
    <w:rsid w:val="00832F77"/>
    <w:rsid w:val="008339AD"/>
    <w:rsid w:val="00836D30"/>
    <w:rsid w:val="008428BD"/>
    <w:rsid w:val="00845A7B"/>
    <w:rsid w:val="00846AD1"/>
    <w:rsid w:val="00847B2D"/>
    <w:rsid w:val="00851548"/>
    <w:rsid w:val="008534F6"/>
    <w:rsid w:val="00854B58"/>
    <w:rsid w:val="008558D2"/>
    <w:rsid w:val="00855A65"/>
    <w:rsid w:val="00860ED4"/>
    <w:rsid w:val="00862237"/>
    <w:rsid w:val="0086323F"/>
    <w:rsid w:val="00864BF8"/>
    <w:rsid w:val="00864D8D"/>
    <w:rsid w:val="00866F0A"/>
    <w:rsid w:val="00872086"/>
    <w:rsid w:val="0087210A"/>
    <w:rsid w:val="00875731"/>
    <w:rsid w:val="00877176"/>
    <w:rsid w:val="0087735D"/>
    <w:rsid w:val="008817EC"/>
    <w:rsid w:val="008823C2"/>
    <w:rsid w:val="008831D0"/>
    <w:rsid w:val="008850DF"/>
    <w:rsid w:val="00885452"/>
    <w:rsid w:val="00887214"/>
    <w:rsid w:val="008931AA"/>
    <w:rsid w:val="008962CE"/>
    <w:rsid w:val="008A18AE"/>
    <w:rsid w:val="008A1CA4"/>
    <w:rsid w:val="008A25BF"/>
    <w:rsid w:val="008A2751"/>
    <w:rsid w:val="008A467F"/>
    <w:rsid w:val="008A7399"/>
    <w:rsid w:val="008A7ACF"/>
    <w:rsid w:val="008B17EE"/>
    <w:rsid w:val="008B547F"/>
    <w:rsid w:val="008B6475"/>
    <w:rsid w:val="008C2B77"/>
    <w:rsid w:val="008C32D0"/>
    <w:rsid w:val="008C5746"/>
    <w:rsid w:val="008C60D1"/>
    <w:rsid w:val="008C6585"/>
    <w:rsid w:val="008C7751"/>
    <w:rsid w:val="008D24AA"/>
    <w:rsid w:val="008D30DA"/>
    <w:rsid w:val="008D35A7"/>
    <w:rsid w:val="008D582B"/>
    <w:rsid w:val="008D6ACF"/>
    <w:rsid w:val="008D7452"/>
    <w:rsid w:val="008E0922"/>
    <w:rsid w:val="008E104B"/>
    <w:rsid w:val="008E2E94"/>
    <w:rsid w:val="008E4A98"/>
    <w:rsid w:val="008E4D36"/>
    <w:rsid w:val="008E5CAD"/>
    <w:rsid w:val="008E5EE8"/>
    <w:rsid w:val="008F054A"/>
    <w:rsid w:val="008F1292"/>
    <w:rsid w:val="008F4046"/>
    <w:rsid w:val="008F6C26"/>
    <w:rsid w:val="009008C0"/>
    <w:rsid w:val="00900D08"/>
    <w:rsid w:val="00902611"/>
    <w:rsid w:val="00903A8D"/>
    <w:rsid w:val="00905C6D"/>
    <w:rsid w:val="009147D9"/>
    <w:rsid w:val="00915142"/>
    <w:rsid w:val="009170B3"/>
    <w:rsid w:val="00920AE0"/>
    <w:rsid w:val="0092492C"/>
    <w:rsid w:val="00926478"/>
    <w:rsid w:val="00927820"/>
    <w:rsid w:val="00930126"/>
    <w:rsid w:val="009308FB"/>
    <w:rsid w:val="00930C31"/>
    <w:rsid w:val="00931374"/>
    <w:rsid w:val="009315D1"/>
    <w:rsid w:val="00933AF4"/>
    <w:rsid w:val="00933BD0"/>
    <w:rsid w:val="0093642D"/>
    <w:rsid w:val="0094003F"/>
    <w:rsid w:val="0094241B"/>
    <w:rsid w:val="00943113"/>
    <w:rsid w:val="00945082"/>
    <w:rsid w:val="009454F0"/>
    <w:rsid w:val="00945D80"/>
    <w:rsid w:val="009467CF"/>
    <w:rsid w:val="00950D86"/>
    <w:rsid w:val="00952726"/>
    <w:rsid w:val="009544DF"/>
    <w:rsid w:val="0095566E"/>
    <w:rsid w:val="00955991"/>
    <w:rsid w:val="00956A9A"/>
    <w:rsid w:val="00956D8C"/>
    <w:rsid w:val="00961173"/>
    <w:rsid w:val="00962D04"/>
    <w:rsid w:val="0096341C"/>
    <w:rsid w:val="009649AA"/>
    <w:rsid w:val="00965C9D"/>
    <w:rsid w:val="00970A03"/>
    <w:rsid w:val="009720EE"/>
    <w:rsid w:val="00973891"/>
    <w:rsid w:val="009743DC"/>
    <w:rsid w:val="0098289A"/>
    <w:rsid w:val="009874ED"/>
    <w:rsid w:val="00992A63"/>
    <w:rsid w:val="00994038"/>
    <w:rsid w:val="009A19A3"/>
    <w:rsid w:val="009A1FB2"/>
    <w:rsid w:val="009A27DF"/>
    <w:rsid w:val="009A4291"/>
    <w:rsid w:val="009A4A30"/>
    <w:rsid w:val="009A77AF"/>
    <w:rsid w:val="009B0612"/>
    <w:rsid w:val="009B1D85"/>
    <w:rsid w:val="009B2A21"/>
    <w:rsid w:val="009B2B08"/>
    <w:rsid w:val="009B3F99"/>
    <w:rsid w:val="009B4255"/>
    <w:rsid w:val="009B5A3D"/>
    <w:rsid w:val="009B7372"/>
    <w:rsid w:val="009B7953"/>
    <w:rsid w:val="009C06CC"/>
    <w:rsid w:val="009C13A1"/>
    <w:rsid w:val="009C6666"/>
    <w:rsid w:val="009C7E4C"/>
    <w:rsid w:val="009D22FA"/>
    <w:rsid w:val="009D29A2"/>
    <w:rsid w:val="009D2D8D"/>
    <w:rsid w:val="009D3915"/>
    <w:rsid w:val="009D6525"/>
    <w:rsid w:val="009D7759"/>
    <w:rsid w:val="009E1323"/>
    <w:rsid w:val="009E21AC"/>
    <w:rsid w:val="009E393D"/>
    <w:rsid w:val="009E66E5"/>
    <w:rsid w:val="009E700F"/>
    <w:rsid w:val="009E77A7"/>
    <w:rsid w:val="009E7DF1"/>
    <w:rsid w:val="009F1340"/>
    <w:rsid w:val="009F1E29"/>
    <w:rsid w:val="009F20C3"/>
    <w:rsid w:val="009F2FE7"/>
    <w:rsid w:val="009F426A"/>
    <w:rsid w:val="009F5896"/>
    <w:rsid w:val="009F5B2E"/>
    <w:rsid w:val="009F7C30"/>
    <w:rsid w:val="00A018F4"/>
    <w:rsid w:val="00A04687"/>
    <w:rsid w:val="00A04A31"/>
    <w:rsid w:val="00A05247"/>
    <w:rsid w:val="00A0593C"/>
    <w:rsid w:val="00A0661D"/>
    <w:rsid w:val="00A0739F"/>
    <w:rsid w:val="00A07B00"/>
    <w:rsid w:val="00A102C5"/>
    <w:rsid w:val="00A159D4"/>
    <w:rsid w:val="00A17EFF"/>
    <w:rsid w:val="00A230DA"/>
    <w:rsid w:val="00A23A20"/>
    <w:rsid w:val="00A2473E"/>
    <w:rsid w:val="00A300F8"/>
    <w:rsid w:val="00A30515"/>
    <w:rsid w:val="00A31DC3"/>
    <w:rsid w:val="00A33396"/>
    <w:rsid w:val="00A33678"/>
    <w:rsid w:val="00A41697"/>
    <w:rsid w:val="00A51543"/>
    <w:rsid w:val="00A51D91"/>
    <w:rsid w:val="00A54B76"/>
    <w:rsid w:val="00A55DCE"/>
    <w:rsid w:val="00A57C59"/>
    <w:rsid w:val="00A57CDE"/>
    <w:rsid w:val="00A654EC"/>
    <w:rsid w:val="00A6697B"/>
    <w:rsid w:val="00A74E3E"/>
    <w:rsid w:val="00A81694"/>
    <w:rsid w:val="00A8372B"/>
    <w:rsid w:val="00A83CFF"/>
    <w:rsid w:val="00A91342"/>
    <w:rsid w:val="00A915E5"/>
    <w:rsid w:val="00A91A49"/>
    <w:rsid w:val="00A9524F"/>
    <w:rsid w:val="00AA0BC8"/>
    <w:rsid w:val="00AA171C"/>
    <w:rsid w:val="00AA1844"/>
    <w:rsid w:val="00AB47AB"/>
    <w:rsid w:val="00AC4075"/>
    <w:rsid w:val="00AC52CF"/>
    <w:rsid w:val="00AD0F57"/>
    <w:rsid w:val="00AD32EB"/>
    <w:rsid w:val="00AD638D"/>
    <w:rsid w:val="00AD6534"/>
    <w:rsid w:val="00AE10AD"/>
    <w:rsid w:val="00AE3EB2"/>
    <w:rsid w:val="00AE4810"/>
    <w:rsid w:val="00AF39B0"/>
    <w:rsid w:val="00B00BB6"/>
    <w:rsid w:val="00B00D78"/>
    <w:rsid w:val="00B01771"/>
    <w:rsid w:val="00B05C9B"/>
    <w:rsid w:val="00B10C1C"/>
    <w:rsid w:val="00B10D85"/>
    <w:rsid w:val="00B1297F"/>
    <w:rsid w:val="00B12F71"/>
    <w:rsid w:val="00B14362"/>
    <w:rsid w:val="00B147B2"/>
    <w:rsid w:val="00B15093"/>
    <w:rsid w:val="00B15DDB"/>
    <w:rsid w:val="00B21F79"/>
    <w:rsid w:val="00B230F5"/>
    <w:rsid w:val="00B25650"/>
    <w:rsid w:val="00B26061"/>
    <w:rsid w:val="00B269D0"/>
    <w:rsid w:val="00B36DA2"/>
    <w:rsid w:val="00B47C8D"/>
    <w:rsid w:val="00B5358F"/>
    <w:rsid w:val="00B57E7D"/>
    <w:rsid w:val="00B62CF0"/>
    <w:rsid w:val="00B62E97"/>
    <w:rsid w:val="00B65285"/>
    <w:rsid w:val="00B66000"/>
    <w:rsid w:val="00B6659C"/>
    <w:rsid w:val="00B674B8"/>
    <w:rsid w:val="00B72C1D"/>
    <w:rsid w:val="00B73864"/>
    <w:rsid w:val="00B74255"/>
    <w:rsid w:val="00B7425D"/>
    <w:rsid w:val="00B74569"/>
    <w:rsid w:val="00B74E42"/>
    <w:rsid w:val="00B752C4"/>
    <w:rsid w:val="00B7599B"/>
    <w:rsid w:val="00B76A19"/>
    <w:rsid w:val="00B76D28"/>
    <w:rsid w:val="00B77CB3"/>
    <w:rsid w:val="00B81D16"/>
    <w:rsid w:val="00B82F0C"/>
    <w:rsid w:val="00B8524D"/>
    <w:rsid w:val="00B8630E"/>
    <w:rsid w:val="00B903FB"/>
    <w:rsid w:val="00B9040D"/>
    <w:rsid w:val="00B91A38"/>
    <w:rsid w:val="00B92363"/>
    <w:rsid w:val="00B93584"/>
    <w:rsid w:val="00B93C7E"/>
    <w:rsid w:val="00B93E45"/>
    <w:rsid w:val="00B9478B"/>
    <w:rsid w:val="00B954A1"/>
    <w:rsid w:val="00B95D36"/>
    <w:rsid w:val="00B963D7"/>
    <w:rsid w:val="00B964D1"/>
    <w:rsid w:val="00B964FC"/>
    <w:rsid w:val="00B97FCC"/>
    <w:rsid w:val="00BA3609"/>
    <w:rsid w:val="00BB09D9"/>
    <w:rsid w:val="00BB130B"/>
    <w:rsid w:val="00BB34BE"/>
    <w:rsid w:val="00BB42C5"/>
    <w:rsid w:val="00BB47A0"/>
    <w:rsid w:val="00BB4E51"/>
    <w:rsid w:val="00BB5F4E"/>
    <w:rsid w:val="00BB6289"/>
    <w:rsid w:val="00BB68E1"/>
    <w:rsid w:val="00BC2C2B"/>
    <w:rsid w:val="00BC6790"/>
    <w:rsid w:val="00BC6BFA"/>
    <w:rsid w:val="00BC6EA0"/>
    <w:rsid w:val="00BC741D"/>
    <w:rsid w:val="00BD048F"/>
    <w:rsid w:val="00BD0885"/>
    <w:rsid w:val="00BD25BA"/>
    <w:rsid w:val="00BD3937"/>
    <w:rsid w:val="00BD6338"/>
    <w:rsid w:val="00BD7252"/>
    <w:rsid w:val="00BD7F8D"/>
    <w:rsid w:val="00BE0BF4"/>
    <w:rsid w:val="00BE0BFF"/>
    <w:rsid w:val="00BE2D5A"/>
    <w:rsid w:val="00BE405B"/>
    <w:rsid w:val="00BE4ED2"/>
    <w:rsid w:val="00BF1CEB"/>
    <w:rsid w:val="00BF74E1"/>
    <w:rsid w:val="00BF7AFF"/>
    <w:rsid w:val="00BF7D15"/>
    <w:rsid w:val="00C02547"/>
    <w:rsid w:val="00C02634"/>
    <w:rsid w:val="00C03281"/>
    <w:rsid w:val="00C03A23"/>
    <w:rsid w:val="00C0426F"/>
    <w:rsid w:val="00C07B70"/>
    <w:rsid w:val="00C11784"/>
    <w:rsid w:val="00C12F19"/>
    <w:rsid w:val="00C16005"/>
    <w:rsid w:val="00C22E32"/>
    <w:rsid w:val="00C257F1"/>
    <w:rsid w:val="00C27AAB"/>
    <w:rsid w:val="00C341A6"/>
    <w:rsid w:val="00C4008E"/>
    <w:rsid w:val="00C45143"/>
    <w:rsid w:val="00C45FAE"/>
    <w:rsid w:val="00C505FC"/>
    <w:rsid w:val="00C53E58"/>
    <w:rsid w:val="00C541B4"/>
    <w:rsid w:val="00C54C64"/>
    <w:rsid w:val="00C56182"/>
    <w:rsid w:val="00C56A67"/>
    <w:rsid w:val="00C62345"/>
    <w:rsid w:val="00C63C1C"/>
    <w:rsid w:val="00C63DDF"/>
    <w:rsid w:val="00C657CB"/>
    <w:rsid w:val="00C70C42"/>
    <w:rsid w:val="00C7153F"/>
    <w:rsid w:val="00C71B9D"/>
    <w:rsid w:val="00C71E46"/>
    <w:rsid w:val="00C73E63"/>
    <w:rsid w:val="00C82623"/>
    <w:rsid w:val="00C8593D"/>
    <w:rsid w:val="00C85FE0"/>
    <w:rsid w:val="00C878D4"/>
    <w:rsid w:val="00C87AA4"/>
    <w:rsid w:val="00C87EA0"/>
    <w:rsid w:val="00C93C9C"/>
    <w:rsid w:val="00C93DE7"/>
    <w:rsid w:val="00C94705"/>
    <w:rsid w:val="00C96A3C"/>
    <w:rsid w:val="00CA050F"/>
    <w:rsid w:val="00CA4FD2"/>
    <w:rsid w:val="00CA580A"/>
    <w:rsid w:val="00CA66E7"/>
    <w:rsid w:val="00CA6DF1"/>
    <w:rsid w:val="00CA7038"/>
    <w:rsid w:val="00CA74C7"/>
    <w:rsid w:val="00CB18D4"/>
    <w:rsid w:val="00CB73F0"/>
    <w:rsid w:val="00CB77C6"/>
    <w:rsid w:val="00CC138A"/>
    <w:rsid w:val="00CC1CD9"/>
    <w:rsid w:val="00CC2A55"/>
    <w:rsid w:val="00CC4075"/>
    <w:rsid w:val="00CC506C"/>
    <w:rsid w:val="00CC6D31"/>
    <w:rsid w:val="00CD0828"/>
    <w:rsid w:val="00CD0E6A"/>
    <w:rsid w:val="00CD12C2"/>
    <w:rsid w:val="00CD18A4"/>
    <w:rsid w:val="00CD1F81"/>
    <w:rsid w:val="00CD1FB9"/>
    <w:rsid w:val="00CD39BC"/>
    <w:rsid w:val="00CD3A3B"/>
    <w:rsid w:val="00CD5D95"/>
    <w:rsid w:val="00CE09CA"/>
    <w:rsid w:val="00CE0E7A"/>
    <w:rsid w:val="00CE252C"/>
    <w:rsid w:val="00CE3432"/>
    <w:rsid w:val="00CE5CF0"/>
    <w:rsid w:val="00CF46B1"/>
    <w:rsid w:val="00CF5C89"/>
    <w:rsid w:val="00D0018B"/>
    <w:rsid w:val="00D00AD1"/>
    <w:rsid w:val="00D01E79"/>
    <w:rsid w:val="00D044F6"/>
    <w:rsid w:val="00D04909"/>
    <w:rsid w:val="00D1253C"/>
    <w:rsid w:val="00D21142"/>
    <w:rsid w:val="00D21CEC"/>
    <w:rsid w:val="00D23E07"/>
    <w:rsid w:val="00D247BB"/>
    <w:rsid w:val="00D250CE"/>
    <w:rsid w:val="00D25EE0"/>
    <w:rsid w:val="00D277E7"/>
    <w:rsid w:val="00D30266"/>
    <w:rsid w:val="00D4208B"/>
    <w:rsid w:val="00D426C8"/>
    <w:rsid w:val="00D42F67"/>
    <w:rsid w:val="00D4315C"/>
    <w:rsid w:val="00D431F9"/>
    <w:rsid w:val="00D45617"/>
    <w:rsid w:val="00D457F9"/>
    <w:rsid w:val="00D458D8"/>
    <w:rsid w:val="00D4746C"/>
    <w:rsid w:val="00D47A25"/>
    <w:rsid w:val="00D50BB5"/>
    <w:rsid w:val="00D5187B"/>
    <w:rsid w:val="00D53ADB"/>
    <w:rsid w:val="00D5603B"/>
    <w:rsid w:val="00D56142"/>
    <w:rsid w:val="00D61992"/>
    <w:rsid w:val="00D660E0"/>
    <w:rsid w:val="00D66822"/>
    <w:rsid w:val="00D6740F"/>
    <w:rsid w:val="00D711AA"/>
    <w:rsid w:val="00D72942"/>
    <w:rsid w:val="00D74119"/>
    <w:rsid w:val="00D75EDB"/>
    <w:rsid w:val="00D81438"/>
    <w:rsid w:val="00D86A8C"/>
    <w:rsid w:val="00D90ABE"/>
    <w:rsid w:val="00D9466D"/>
    <w:rsid w:val="00D954FB"/>
    <w:rsid w:val="00D96570"/>
    <w:rsid w:val="00DA116E"/>
    <w:rsid w:val="00DA54B7"/>
    <w:rsid w:val="00DA57CF"/>
    <w:rsid w:val="00DA6B29"/>
    <w:rsid w:val="00DB0689"/>
    <w:rsid w:val="00DB14D6"/>
    <w:rsid w:val="00DB61BC"/>
    <w:rsid w:val="00DB694E"/>
    <w:rsid w:val="00DB69FD"/>
    <w:rsid w:val="00DB7BF3"/>
    <w:rsid w:val="00DC2392"/>
    <w:rsid w:val="00DC2AE4"/>
    <w:rsid w:val="00DC68ED"/>
    <w:rsid w:val="00DD13EF"/>
    <w:rsid w:val="00DD5CE7"/>
    <w:rsid w:val="00DE017B"/>
    <w:rsid w:val="00DE0CAC"/>
    <w:rsid w:val="00DE4AB3"/>
    <w:rsid w:val="00DE6D7A"/>
    <w:rsid w:val="00DF1890"/>
    <w:rsid w:val="00DF53F3"/>
    <w:rsid w:val="00DF6341"/>
    <w:rsid w:val="00DF72DD"/>
    <w:rsid w:val="00DF78DA"/>
    <w:rsid w:val="00E0006D"/>
    <w:rsid w:val="00E03FEA"/>
    <w:rsid w:val="00E10140"/>
    <w:rsid w:val="00E14EEA"/>
    <w:rsid w:val="00E15597"/>
    <w:rsid w:val="00E20BE9"/>
    <w:rsid w:val="00E22E85"/>
    <w:rsid w:val="00E25D38"/>
    <w:rsid w:val="00E3079D"/>
    <w:rsid w:val="00E30C4C"/>
    <w:rsid w:val="00E30D21"/>
    <w:rsid w:val="00E36BD6"/>
    <w:rsid w:val="00E40852"/>
    <w:rsid w:val="00E42E74"/>
    <w:rsid w:val="00E5308B"/>
    <w:rsid w:val="00E536BD"/>
    <w:rsid w:val="00E55278"/>
    <w:rsid w:val="00E55967"/>
    <w:rsid w:val="00E61DDB"/>
    <w:rsid w:val="00E6354B"/>
    <w:rsid w:val="00E65798"/>
    <w:rsid w:val="00E665B2"/>
    <w:rsid w:val="00E700AF"/>
    <w:rsid w:val="00E70831"/>
    <w:rsid w:val="00E73D25"/>
    <w:rsid w:val="00E7453A"/>
    <w:rsid w:val="00E74AED"/>
    <w:rsid w:val="00E77D0D"/>
    <w:rsid w:val="00E835BC"/>
    <w:rsid w:val="00E84321"/>
    <w:rsid w:val="00E8457C"/>
    <w:rsid w:val="00E85388"/>
    <w:rsid w:val="00E8782E"/>
    <w:rsid w:val="00E87C92"/>
    <w:rsid w:val="00E9066C"/>
    <w:rsid w:val="00E9175F"/>
    <w:rsid w:val="00E925BF"/>
    <w:rsid w:val="00E95712"/>
    <w:rsid w:val="00E959F0"/>
    <w:rsid w:val="00EA3190"/>
    <w:rsid w:val="00EA47DA"/>
    <w:rsid w:val="00EA72AF"/>
    <w:rsid w:val="00EA752D"/>
    <w:rsid w:val="00EB16DB"/>
    <w:rsid w:val="00EB3E22"/>
    <w:rsid w:val="00EB4424"/>
    <w:rsid w:val="00EB51DC"/>
    <w:rsid w:val="00EB65E8"/>
    <w:rsid w:val="00EB6D54"/>
    <w:rsid w:val="00EB7E12"/>
    <w:rsid w:val="00EC08EE"/>
    <w:rsid w:val="00EC0F3E"/>
    <w:rsid w:val="00EC32C3"/>
    <w:rsid w:val="00EC3791"/>
    <w:rsid w:val="00EC6AF9"/>
    <w:rsid w:val="00ED2B05"/>
    <w:rsid w:val="00ED3A51"/>
    <w:rsid w:val="00ED56CB"/>
    <w:rsid w:val="00ED60CC"/>
    <w:rsid w:val="00ED6350"/>
    <w:rsid w:val="00ED688E"/>
    <w:rsid w:val="00EE083B"/>
    <w:rsid w:val="00EF2EB9"/>
    <w:rsid w:val="00F021AD"/>
    <w:rsid w:val="00F05334"/>
    <w:rsid w:val="00F07FA5"/>
    <w:rsid w:val="00F112B2"/>
    <w:rsid w:val="00F11AB7"/>
    <w:rsid w:val="00F1224D"/>
    <w:rsid w:val="00F13349"/>
    <w:rsid w:val="00F15D0C"/>
    <w:rsid w:val="00F16F60"/>
    <w:rsid w:val="00F20071"/>
    <w:rsid w:val="00F21C6D"/>
    <w:rsid w:val="00F22B70"/>
    <w:rsid w:val="00F22BFC"/>
    <w:rsid w:val="00F2422A"/>
    <w:rsid w:val="00F25B63"/>
    <w:rsid w:val="00F26A34"/>
    <w:rsid w:val="00F279C6"/>
    <w:rsid w:val="00F30A61"/>
    <w:rsid w:val="00F30F50"/>
    <w:rsid w:val="00F32F14"/>
    <w:rsid w:val="00F33ABF"/>
    <w:rsid w:val="00F35839"/>
    <w:rsid w:val="00F4549B"/>
    <w:rsid w:val="00F45DB3"/>
    <w:rsid w:val="00F46240"/>
    <w:rsid w:val="00F50320"/>
    <w:rsid w:val="00F5335B"/>
    <w:rsid w:val="00F54B0B"/>
    <w:rsid w:val="00F5619D"/>
    <w:rsid w:val="00F573D8"/>
    <w:rsid w:val="00F60358"/>
    <w:rsid w:val="00F61344"/>
    <w:rsid w:val="00F63D19"/>
    <w:rsid w:val="00F6698D"/>
    <w:rsid w:val="00F70BDA"/>
    <w:rsid w:val="00F727B6"/>
    <w:rsid w:val="00F73652"/>
    <w:rsid w:val="00F74B6B"/>
    <w:rsid w:val="00F7611D"/>
    <w:rsid w:val="00F76746"/>
    <w:rsid w:val="00F77B72"/>
    <w:rsid w:val="00F80A31"/>
    <w:rsid w:val="00F86015"/>
    <w:rsid w:val="00F8687D"/>
    <w:rsid w:val="00F904B6"/>
    <w:rsid w:val="00F93541"/>
    <w:rsid w:val="00F93DFD"/>
    <w:rsid w:val="00F9551A"/>
    <w:rsid w:val="00F95AA1"/>
    <w:rsid w:val="00F95BFA"/>
    <w:rsid w:val="00F96B4B"/>
    <w:rsid w:val="00F97744"/>
    <w:rsid w:val="00FA45BC"/>
    <w:rsid w:val="00FA6AEF"/>
    <w:rsid w:val="00FB09DB"/>
    <w:rsid w:val="00FB3F98"/>
    <w:rsid w:val="00FB40FE"/>
    <w:rsid w:val="00FB43D5"/>
    <w:rsid w:val="00FB4F39"/>
    <w:rsid w:val="00FC1CF6"/>
    <w:rsid w:val="00FC2CEB"/>
    <w:rsid w:val="00FC44CF"/>
    <w:rsid w:val="00FC514E"/>
    <w:rsid w:val="00FC5DA8"/>
    <w:rsid w:val="00FD005D"/>
    <w:rsid w:val="00FD0784"/>
    <w:rsid w:val="00FD07A7"/>
    <w:rsid w:val="00FD2211"/>
    <w:rsid w:val="00FD4328"/>
    <w:rsid w:val="00FD4A12"/>
    <w:rsid w:val="00FD76F7"/>
    <w:rsid w:val="00FE08CE"/>
    <w:rsid w:val="00FE6911"/>
    <w:rsid w:val="00FF1FFE"/>
    <w:rsid w:val="00FF36F3"/>
    <w:rsid w:val="00FF4881"/>
    <w:rsid w:val="00FF59F1"/>
    <w:rsid w:val="00FF73B1"/>
    <w:rsid w:val="00FF76A7"/>
    <w:rsid w:val="00FF7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5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F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E6"/>
    <w:rPr>
      <w:rFonts w:eastAsiaTheme="minorEastAsia"/>
      <w:color w:val="5A5A5A" w:themeColor="text1" w:themeTint="A5"/>
      <w:spacing w:val="15"/>
    </w:rPr>
  </w:style>
  <w:style w:type="paragraph" w:styleId="ListParagraph">
    <w:name w:val="List Paragraph"/>
    <w:basedOn w:val="Normal"/>
    <w:uiPriority w:val="34"/>
    <w:qFormat/>
    <w:rsid w:val="00114548"/>
    <w:pPr>
      <w:ind w:left="720"/>
      <w:contextualSpacing/>
    </w:pPr>
  </w:style>
  <w:style w:type="character" w:styleId="SubtleEmphasis">
    <w:name w:val="Subtle Emphasis"/>
    <w:basedOn w:val="DefaultParagraphFont"/>
    <w:uiPriority w:val="19"/>
    <w:qFormat/>
    <w:rsid w:val="008A2751"/>
    <w:rPr>
      <w:i/>
      <w:iCs/>
      <w:color w:val="404040" w:themeColor="text1" w:themeTint="BF"/>
    </w:rPr>
  </w:style>
  <w:style w:type="character" w:customStyle="1" w:styleId="Heading1Char">
    <w:name w:val="Heading 1 Char"/>
    <w:basedOn w:val="DefaultParagraphFont"/>
    <w:link w:val="Heading1"/>
    <w:uiPriority w:val="9"/>
    <w:rsid w:val="00E9175F"/>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9A4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291"/>
    <w:rPr>
      <w:sz w:val="20"/>
      <w:szCs w:val="20"/>
    </w:rPr>
  </w:style>
  <w:style w:type="character" w:styleId="EndnoteReference">
    <w:name w:val="endnote reference"/>
    <w:basedOn w:val="DefaultParagraphFont"/>
    <w:uiPriority w:val="99"/>
    <w:semiHidden/>
    <w:unhideWhenUsed/>
    <w:rsid w:val="009A4291"/>
    <w:rPr>
      <w:vertAlign w:val="superscript"/>
    </w:rPr>
  </w:style>
  <w:style w:type="paragraph" w:styleId="Header">
    <w:name w:val="header"/>
    <w:basedOn w:val="Normal"/>
    <w:link w:val="HeaderChar"/>
    <w:uiPriority w:val="99"/>
    <w:unhideWhenUsed/>
    <w:rsid w:val="008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D0"/>
  </w:style>
  <w:style w:type="paragraph" w:styleId="Footer">
    <w:name w:val="footer"/>
    <w:basedOn w:val="Normal"/>
    <w:link w:val="FooterChar"/>
    <w:uiPriority w:val="99"/>
    <w:unhideWhenUsed/>
    <w:rsid w:val="008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D0"/>
  </w:style>
  <w:style w:type="character" w:styleId="Hyperlink">
    <w:name w:val="Hyperlink"/>
    <w:basedOn w:val="DefaultParagraphFont"/>
    <w:uiPriority w:val="99"/>
    <w:unhideWhenUsed/>
    <w:rsid w:val="00CA7038"/>
    <w:rPr>
      <w:color w:val="0563C1" w:themeColor="hyperlink"/>
      <w:u w:val="single"/>
    </w:rPr>
  </w:style>
  <w:style w:type="character" w:customStyle="1" w:styleId="UnresolvedMention1">
    <w:name w:val="Unresolved Mention1"/>
    <w:basedOn w:val="DefaultParagraphFont"/>
    <w:uiPriority w:val="99"/>
    <w:semiHidden/>
    <w:unhideWhenUsed/>
    <w:rsid w:val="00CA7038"/>
    <w:rPr>
      <w:color w:val="605E5C"/>
      <w:shd w:val="clear" w:color="auto" w:fill="E1DFDD"/>
    </w:rPr>
  </w:style>
  <w:style w:type="character" w:styleId="FollowedHyperlink">
    <w:name w:val="FollowedHyperlink"/>
    <w:basedOn w:val="DefaultParagraphFont"/>
    <w:uiPriority w:val="99"/>
    <w:semiHidden/>
    <w:unhideWhenUsed/>
    <w:rsid w:val="004428C7"/>
    <w:rPr>
      <w:color w:val="954F72" w:themeColor="followedHyperlink"/>
      <w:u w:val="single"/>
    </w:rPr>
  </w:style>
  <w:style w:type="paragraph" w:styleId="NoSpacing">
    <w:name w:val="No Spacing"/>
    <w:uiPriority w:val="1"/>
    <w:qFormat/>
    <w:rsid w:val="006A29FC"/>
    <w:pPr>
      <w:spacing w:after="0" w:line="240" w:lineRule="auto"/>
    </w:pPr>
  </w:style>
  <w:style w:type="paragraph" w:styleId="FootnoteText">
    <w:name w:val="footnote text"/>
    <w:basedOn w:val="Normal"/>
    <w:link w:val="FootnoteTextChar"/>
    <w:uiPriority w:val="99"/>
    <w:semiHidden/>
    <w:unhideWhenUsed/>
    <w:rsid w:val="00A05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247"/>
    <w:rPr>
      <w:sz w:val="20"/>
      <w:szCs w:val="20"/>
    </w:rPr>
  </w:style>
  <w:style w:type="character" w:styleId="FootnoteReference">
    <w:name w:val="footnote reference"/>
    <w:basedOn w:val="DefaultParagraphFont"/>
    <w:uiPriority w:val="99"/>
    <w:semiHidden/>
    <w:unhideWhenUsed/>
    <w:rsid w:val="00A05247"/>
    <w:rPr>
      <w:vertAlign w:val="superscript"/>
    </w:rPr>
  </w:style>
  <w:style w:type="character" w:styleId="CommentReference">
    <w:name w:val="annotation reference"/>
    <w:basedOn w:val="DefaultParagraphFont"/>
    <w:uiPriority w:val="99"/>
    <w:semiHidden/>
    <w:unhideWhenUsed/>
    <w:rsid w:val="007E6644"/>
    <w:rPr>
      <w:sz w:val="16"/>
      <w:szCs w:val="16"/>
    </w:rPr>
  </w:style>
  <w:style w:type="paragraph" w:styleId="CommentText">
    <w:name w:val="annotation text"/>
    <w:basedOn w:val="Normal"/>
    <w:link w:val="CommentTextChar"/>
    <w:uiPriority w:val="99"/>
    <w:semiHidden/>
    <w:unhideWhenUsed/>
    <w:rsid w:val="007E6644"/>
    <w:pPr>
      <w:spacing w:line="240" w:lineRule="auto"/>
    </w:pPr>
    <w:rPr>
      <w:sz w:val="20"/>
      <w:szCs w:val="20"/>
    </w:rPr>
  </w:style>
  <w:style w:type="character" w:customStyle="1" w:styleId="CommentTextChar">
    <w:name w:val="Comment Text Char"/>
    <w:basedOn w:val="DefaultParagraphFont"/>
    <w:link w:val="CommentText"/>
    <w:uiPriority w:val="99"/>
    <w:semiHidden/>
    <w:rsid w:val="007E6644"/>
    <w:rPr>
      <w:sz w:val="20"/>
      <w:szCs w:val="20"/>
    </w:rPr>
  </w:style>
  <w:style w:type="paragraph" w:styleId="CommentSubject">
    <w:name w:val="annotation subject"/>
    <w:basedOn w:val="CommentText"/>
    <w:next w:val="CommentText"/>
    <w:link w:val="CommentSubjectChar"/>
    <w:uiPriority w:val="99"/>
    <w:semiHidden/>
    <w:unhideWhenUsed/>
    <w:rsid w:val="007E6644"/>
    <w:rPr>
      <w:b/>
      <w:bCs/>
    </w:rPr>
  </w:style>
  <w:style w:type="character" w:customStyle="1" w:styleId="CommentSubjectChar">
    <w:name w:val="Comment Subject Char"/>
    <w:basedOn w:val="CommentTextChar"/>
    <w:link w:val="CommentSubject"/>
    <w:uiPriority w:val="99"/>
    <w:semiHidden/>
    <w:rsid w:val="007E6644"/>
    <w:rPr>
      <w:b/>
      <w:bCs/>
      <w:sz w:val="20"/>
      <w:szCs w:val="20"/>
    </w:rPr>
  </w:style>
  <w:style w:type="paragraph" w:styleId="BalloonText">
    <w:name w:val="Balloon Text"/>
    <w:basedOn w:val="Normal"/>
    <w:link w:val="BalloonTextChar"/>
    <w:uiPriority w:val="99"/>
    <w:semiHidden/>
    <w:unhideWhenUsed/>
    <w:rsid w:val="007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F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E6"/>
    <w:rPr>
      <w:rFonts w:eastAsiaTheme="minorEastAsia"/>
      <w:color w:val="5A5A5A" w:themeColor="text1" w:themeTint="A5"/>
      <w:spacing w:val="15"/>
    </w:rPr>
  </w:style>
  <w:style w:type="paragraph" w:styleId="ListParagraph">
    <w:name w:val="List Paragraph"/>
    <w:basedOn w:val="Normal"/>
    <w:uiPriority w:val="34"/>
    <w:qFormat/>
    <w:rsid w:val="00114548"/>
    <w:pPr>
      <w:ind w:left="720"/>
      <w:contextualSpacing/>
    </w:pPr>
  </w:style>
  <w:style w:type="character" w:styleId="SubtleEmphasis">
    <w:name w:val="Subtle Emphasis"/>
    <w:basedOn w:val="DefaultParagraphFont"/>
    <w:uiPriority w:val="19"/>
    <w:qFormat/>
    <w:rsid w:val="008A2751"/>
    <w:rPr>
      <w:i/>
      <w:iCs/>
      <w:color w:val="404040" w:themeColor="text1" w:themeTint="BF"/>
    </w:rPr>
  </w:style>
  <w:style w:type="character" w:customStyle="1" w:styleId="Heading1Char">
    <w:name w:val="Heading 1 Char"/>
    <w:basedOn w:val="DefaultParagraphFont"/>
    <w:link w:val="Heading1"/>
    <w:uiPriority w:val="9"/>
    <w:rsid w:val="00E9175F"/>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9A4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291"/>
    <w:rPr>
      <w:sz w:val="20"/>
      <w:szCs w:val="20"/>
    </w:rPr>
  </w:style>
  <w:style w:type="character" w:styleId="EndnoteReference">
    <w:name w:val="endnote reference"/>
    <w:basedOn w:val="DefaultParagraphFont"/>
    <w:uiPriority w:val="99"/>
    <w:semiHidden/>
    <w:unhideWhenUsed/>
    <w:rsid w:val="009A4291"/>
    <w:rPr>
      <w:vertAlign w:val="superscript"/>
    </w:rPr>
  </w:style>
  <w:style w:type="paragraph" w:styleId="Header">
    <w:name w:val="header"/>
    <w:basedOn w:val="Normal"/>
    <w:link w:val="HeaderChar"/>
    <w:uiPriority w:val="99"/>
    <w:unhideWhenUsed/>
    <w:rsid w:val="008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D0"/>
  </w:style>
  <w:style w:type="paragraph" w:styleId="Footer">
    <w:name w:val="footer"/>
    <w:basedOn w:val="Normal"/>
    <w:link w:val="FooterChar"/>
    <w:uiPriority w:val="99"/>
    <w:unhideWhenUsed/>
    <w:rsid w:val="008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D0"/>
  </w:style>
  <w:style w:type="character" w:styleId="Hyperlink">
    <w:name w:val="Hyperlink"/>
    <w:basedOn w:val="DefaultParagraphFont"/>
    <w:uiPriority w:val="99"/>
    <w:unhideWhenUsed/>
    <w:rsid w:val="00CA7038"/>
    <w:rPr>
      <w:color w:val="0563C1" w:themeColor="hyperlink"/>
      <w:u w:val="single"/>
    </w:rPr>
  </w:style>
  <w:style w:type="character" w:customStyle="1" w:styleId="UnresolvedMention1">
    <w:name w:val="Unresolved Mention1"/>
    <w:basedOn w:val="DefaultParagraphFont"/>
    <w:uiPriority w:val="99"/>
    <w:semiHidden/>
    <w:unhideWhenUsed/>
    <w:rsid w:val="00CA7038"/>
    <w:rPr>
      <w:color w:val="605E5C"/>
      <w:shd w:val="clear" w:color="auto" w:fill="E1DFDD"/>
    </w:rPr>
  </w:style>
  <w:style w:type="character" w:styleId="FollowedHyperlink">
    <w:name w:val="FollowedHyperlink"/>
    <w:basedOn w:val="DefaultParagraphFont"/>
    <w:uiPriority w:val="99"/>
    <w:semiHidden/>
    <w:unhideWhenUsed/>
    <w:rsid w:val="004428C7"/>
    <w:rPr>
      <w:color w:val="954F72" w:themeColor="followedHyperlink"/>
      <w:u w:val="single"/>
    </w:rPr>
  </w:style>
  <w:style w:type="paragraph" w:styleId="NoSpacing">
    <w:name w:val="No Spacing"/>
    <w:uiPriority w:val="1"/>
    <w:qFormat/>
    <w:rsid w:val="006A29FC"/>
    <w:pPr>
      <w:spacing w:after="0" w:line="240" w:lineRule="auto"/>
    </w:pPr>
  </w:style>
  <w:style w:type="paragraph" w:styleId="FootnoteText">
    <w:name w:val="footnote text"/>
    <w:basedOn w:val="Normal"/>
    <w:link w:val="FootnoteTextChar"/>
    <w:uiPriority w:val="99"/>
    <w:semiHidden/>
    <w:unhideWhenUsed/>
    <w:rsid w:val="00A05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247"/>
    <w:rPr>
      <w:sz w:val="20"/>
      <w:szCs w:val="20"/>
    </w:rPr>
  </w:style>
  <w:style w:type="character" w:styleId="FootnoteReference">
    <w:name w:val="footnote reference"/>
    <w:basedOn w:val="DefaultParagraphFont"/>
    <w:uiPriority w:val="99"/>
    <w:semiHidden/>
    <w:unhideWhenUsed/>
    <w:rsid w:val="00A05247"/>
    <w:rPr>
      <w:vertAlign w:val="superscript"/>
    </w:rPr>
  </w:style>
  <w:style w:type="character" w:styleId="CommentReference">
    <w:name w:val="annotation reference"/>
    <w:basedOn w:val="DefaultParagraphFont"/>
    <w:uiPriority w:val="99"/>
    <w:semiHidden/>
    <w:unhideWhenUsed/>
    <w:rsid w:val="007E6644"/>
    <w:rPr>
      <w:sz w:val="16"/>
      <w:szCs w:val="16"/>
    </w:rPr>
  </w:style>
  <w:style w:type="paragraph" w:styleId="CommentText">
    <w:name w:val="annotation text"/>
    <w:basedOn w:val="Normal"/>
    <w:link w:val="CommentTextChar"/>
    <w:uiPriority w:val="99"/>
    <w:semiHidden/>
    <w:unhideWhenUsed/>
    <w:rsid w:val="007E6644"/>
    <w:pPr>
      <w:spacing w:line="240" w:lineRule="auto"/>
    </w:pPr>
    <w:rPr>
      <w:sz w:val="20"/>
      <w:szCs w:val="20"/>
    </w:rPr>
  </w:style>
  <w:style w:type="character" w:customStyle="1" w:styleId="CommentTextChar">
    <w:name w:val="Comment Text Char"/>
    <w:basedOn w:val="DefaultParagraphFont"/>
    <w:link w:val="CommentText"/>
    <w:uiPriority w:val="99"/>
    <w:semiHidden/>
    <w:rsid w:val="007E6644"/>
    <w:rPr>
      <w:sz w:val="20"/>
      <w:szCs w:val="20"/>
    </w:rPr>
  </w:style>
  <w:style w:type="paragraph" w:styleId="CommentSubject">
    <w:name w:val="annotation subject"/>
    <w:basedOn w:val="CommentText"/>
    <w:next w:val="CommentText"/>
    <w:link w:val="CommentSubjectChar"/>
    <w:uiPriority w:val="99"/>
    <w:semiHidden/>
    <w:unhideWhenUsed/>
    <w:rsid w:val="007E6644"/>
    <w:rPr>
      <w:b/>
      <w:bCs/>
    </w:rPr>
  </w:style>
  <w:style w:type="character" w:customStyle="1" w:styleId="CommentSubjectChar">
    <w:name w:val="Comment Subject Char"/>
    <w:basedOn w:val="CommentTextChar"/>
    <w:link w:val="CommentSubject"/>
    <w:uiPriority w:val="99"/>
    <w:semiHidden/>
    <w:rsid w:val="007E6644"/>
    <w:rPr>
      <w:b/>
      <w:bCs/>
      <w:sz w:val="20"/>
      <w:szCs w:val="20"/>
    </w:rPr>
  </w:style>
  <w:style w:type="paragraph" w:styleId="BalloonText">
    <w:name w:val="Balloon Text"/>
    <w:basedOn w:val="Normal"/>
    <w:link w:val="BalloonTextChar"/>
    <w:uiPriority w:val="99"/>
    <w:semiHidden/>
    <w:unhideWhenUsed/>
    <w:rsid w:val="007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bplatts@guernsey.net" TargetMode="External"/><Relationship Id="rId10" Type="http://schemas.openxmlformats.org/officeDocument/2006/relationships/hyperlink" Target="mailto:rob@harnish.g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B9DE-48F2-D74A-9423-1E2AFCA6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3997</Words>
  <Characters>22785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Platts</dc:creator>
  <cp:keywords/>
  <dc:description/>
  <cp:lastModifiedBy>Caterina Allaway</cp:lastModifiedBy>
  <cp:revision>2</cp:revision>
  <dcterms:created xsi:type="dcterms:W3CDTF">2018-09-16T15:47:00Z</dcterms:created>
  <dcterms:modified xsi:type="dcterms:W3CDTF">2018-09-16T15:47:00Z</dcterms:modified>
</cp:coreProperties>
</file>